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2F" w:rsidRDefault="0064602F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t>2663469</w:t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64602F" w:rsidRDefault="0064602F" w:rsidP="00224D2A">
      <w:pPr>
        <w:jc w:val="right"/>
        <w:rPr>
          <w:color w:val="000000"/>
        </w:rPr>
      </w:pPr>
      <w:r>
        <w:rPr>
          <w:color w:val="000000"/>
        </w:rPr>
        <w:br/>
      </w:r>
    </w:p>
    <w:p w:rsidR="0064602F" w:rsidRDefault="0064602F">
      <w:pPr>
        <w:rPr>
          <w:color w:val="000000"/>
        </w:rPr>
      </w:pPr>
    </w:p>
    <w:p w:rsidR="00F234D4" w:rsidRDefault="00E73A79" w:rsidP="00F234D4">
      <w:pPr>
        <w:pStyle w:val="Heading1"/>
        <w:jc w:val="center"/>
        <w:rPr>
          <w:rFonts w:ascii="Arial Narrow" w:hAnsi="Arial Narrow"/>
          <w:b w:val="0"/>
          <w:bCs w:val="0"/>
          <w:kern w:val="0"/>
          <w:sz w:val="20"/>
          <w:szCs w:val="20"/>
        </w:rPr>
      </w:pPr>
      <w:bookmarkStart w:id="1" w:name="OLE_LINK6"/>
      <w:bookmarkStart w:id="2" w:name="OLE_LINK5"/>
      <w:bookmarkStart w:id="3" w:name="OLE_LINK2"/>
      <w:bookmarkStart w:id="4" w:name="OLE_LINK1"/>
      <w:bookmarkStart w:id="5" w:name="PTT_Primatelja"/>
      <w:r>
        <w:rPr>
          <w:rFonts w:ascii="Arial Narrow" w:hAnsi="Arial Narrow"/>
          <w:b w:val="0"/>
          <w:bCs w:val="0"/>
          <w:noProof/>
          <w:kern w:val="0"/>
          <w:sz w:val="20"/>
          <w:szCs w:val="20"/>
        </w:rPr>
        <w:drawing>
          <wp:inline distT="0" distB="0" distL="0" distR="0">
            <wp:extent cx="372745" cy="488315"/>
            <wp:effectExtent l="0" t="0" r="8255" b="6985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D4" w:rsidRDefault="00F234D4" w:rsidP="00F234D4">
      <w:pPr>
        <w:jc w:val="center"/>
        <w:rPr>
          <w:rFonts w:ascii="Arial Narrow" w:hAnsi="Arial Narrow"/>
          <w:sz w:val="20"/>
          <w:szCs w:val="20"/>
        </w:rPr>
      </w:pPr>
    </w:p>
    <w:p w:rsidR="00F234D4" w:rsidRDefault="00F234D4" w:rsidP="00F234D4">
      <w:pPr>
        <w:keepNext/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REPUBLIKA HRVATSKA</w:t>
      </w:r>
    </w:p>
    <w:p w:rsidR="00F234D4" w:rsidRDefault="00F234D4" w:rsidP="00F234D4">
      <w:pPr>
        <w:keepNext/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MINISTARSTVO TURIZMA</w:t>
      </w:r>
    </w:p>
    <w:p w:rsidR="00F234D4" w:rsidRDefault="00F234D4" w:rsidP="00F234D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Uprava za turističko tržište i međunarodnu suradnju</w:t>
      </w:r>
    </w:p>
    <w:p w:rsidR="00F234D4" w:rsidRDefault="00F234D4" w:rsidP="00F234D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Prisavlje 14, 10000 Zagreb</w:t>
      </w:r>
    </w:p>
    <w:bookmarkEnd w:id="1"/>
    <w:bookmarkEnd w:id="2"/>
    <w:bookmarkEnd w:id="3"/>
    <w:bookmarkEnd w:id="4"/>
    <w:p w:rsidR="00F234D4" w:rsidRDefault="00F234D4" w:rsidP="00F234D4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F234D4" w:rsidRDefault="00F234D4" w:rsidP="00F234D4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objavljuje </w:t>
      </w:r>
    </w:p>
    <w:p w:rsidR="00F234D4" w:rsidRDefault="00F234D4" w:rsidP="00F234D4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F234D4" w:rsidRDefault="00F234D4" w:rsidP="00F234D4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  <w:bookmarkStart w:id="6" w:name="_GoBack"/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J A V N I   P O Z I V </w:t>
      </w:r>
    </w:p>
    <w:p w:rsidR="00F234D4" w:rsidRDefault="00F234D4" w:rsidP="00F234D4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:rsidR="00F234D4" w:rsidRDefault="00F234D4" w:rsidP="00F234D4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Srednjim strukovnim i umjetničkim  školama za </w:t>
      </w:r>
    </w:p>
    <w:p w:rsidR="00F234D4" w:rsidRDefault="00F234D4" w:rsidP="00F234D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PROMOCIJU I JAČANJE KOMPETENCIJA STRUKOVNIH ZANIMANJA ZA TURIZAM  2016.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:rsidR="00F234D4" w:rsidRDefault="00F234D4" w:rsidP="00F234D4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bookmarkEnd w:id="6"/>
    <w:p w:rsidR="00F234D4" w:rsidRDefault="00F234D4" w:rsidP="00F234D4">
      <w:pPr>
        <w:numPr>
          <w:ilvl w:val="0"/>
          <w:numId w:val="9"/>
        </w:num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>Predmet Javnog poziva je sudjelovanje u sufinanciranju troškova izrade projekata.</w:t>
      </w:r>
    </w:p>
    <w:p w:rsidR="00F234D4" w:rsidRDefault="00F234D4" w:rsidP="00F234D4">
      <w:pPr>
        <w:tabs>
          <w:tab w:val="left" w:pos="360"/>
          <w:tab w:val="left" w:pos="540"/>
        </w:tabs>
        <w:autoSpaceDE w:val="0"/>
        <w:autoSpaceDN w:val="0"/>
        <w:adjustRightInd w:val="0"/>
        <w:ind w:left="720"/>
        <w:rPr>
          <w:rFonts w:ascii="Arial Narrow" w:hAnsi="Arial Narrow"/>
          <w:color w:val="000000"/>
          <w:sz w:val="22"/>
          <w:szCs w:val="22"/>
        </w:rPr>
      </w:pPr>
    </w:p>
    <w:p w:rsidR="00F234D4" w:rsidRDefault="00F234D4" w:rsidP="00F234D4">
      <w:pPr>
        <w:numPr>
          <w:ilvl w:val="0"/>
          <w:numId w:val="9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noProof/>
          <w:color w:val="000000"/>
          <w:sz w:val="22"/>
          <w:szCs w:val="22"/>
        </w:rPr>
        <w:t xml:space="preserve">Sredstva su namijenjena za: </w:t>
      </w:r>
    </w:p>
    <w:p w:rsidR="00F234D4" w:rsidRDefault="00F234D4" w:rsidP="00F234D4">
      <w:pPr>
        <w:jc w:val="both"/>
        <w:rPr>
          <w:rFonts w:ascii="Arial Narrow" w:hAnsi="Arial Narrow"/>
          <w:noProof/>
          <w:color w:val="000000"/>
          <w:sz w:val="22"/>
          <w:szCs w:val="22"/>
        </w:rPr>
      </w:pPr>
    </w:p>
    <w:p w:rsidR="00F234D4" w:rsidRDefault="00F234D4" w:rsidP="00F234D4">
      <w:pPr>
        <w:numPr>
          <w:ilvl w:val="0"/>
          <w:numId w:val="10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Novi turistički proizvod/i za jačanje ukupne konkurentnosti destinacije u kojoj se škola nalazi temeljen/i na:</w:t>
      </w:r>
    </w:p>
    <w:p w:rsidR="00F234D4" w:rsidRDefault="00F234D4" w:rsidP="00F234D4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povezivanju javnog, privatnog sektora i znanosti (razvoja)</w:t>
      </w:r>
    </w:p>
    <w:p w:rsidR="00F234D4" w:rsidRDefault="00F234D4" w:rsidP="00F234D4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 xml:space="preserve">pozitivnim učincima u zaštiti okoliša </w:t>
      </w:r>
    </w:p>
    <w:p w:rsidR="00F234D4" w:rsidRDefault="00F234D4" w:rsidP="00F234D4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uvođenju novih tehnologija</w:t>
      </w:r>
    </w:p>
    <w:p w:rsidR="00F234D4" w:rsidRDefault="00F234D4" w:rsidP="00F234D4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 xml:space="preserve">uključivanju strateški definiranih posebnih oblika turizma (nautički, zdravstveni, kulturni, poslovni, golf, cikloturizam, ruralni i planinski, eno i gastro, omladinski, socijalni i dr.) </w:t>
      </w:r>
    </w:p>
    <w:p w:rsidR="00F234D4" w:rsidRDefault="00F234D4" w:rsidP="00F234D4">
      <w:pPr>
        <w:ind w:left="1800"/>
        <w:jc w:val="both"/>
        <w:rPr>
          <w:rFonts w:ascii="Arial Narrow" w:hAnsi="Arial Narrow"/>
          <w:noProof/>
          <w:sz w:val="22"/>
          <w:szCs w:val="22"/>
        </w:rPr>
      </w:pPr>
    </w:p>
    <w:p w:rsidR="00F234D4" w:rsidRDefault="00F234D4" w:rsidP="00F234D4">
      <w:pPr>
        <w:numPr>
          <w:ilvl w:val="0"/>
          <w:numId w:val="10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Projekte nastale u suradnji s drugim obrazovnim sektorima u svrhu razvoja turizma (IT - elektronika i računalstvo, kreativni, poljoprivreda i prehrana, zdravstvo i socijalna skrb, grafički, umjetnost i dr.)</w:t>
      </w:r>
    </w:p>
    <w:p w:rsidR="00F234D4" w:rsidRDefault="00F234D4" w:rsidP="00F234D4">
      <w:pPr>
        <w:ind w:left="1800"/>
        <w:jc w:val="both"/>
        <w:rPr>
          <w:rFonts w:ascii="Arial Narrow" w:hAnsi="Arial Narrow"/>
          <w:noProof/>
          <w:color w:val="FF0000"/>
          <w:sz w:val="22"/>
          <w:szCs w:val="22"/>
        </w:rPr>
      </w:pPr>
    </w:p>
    <w:p w:rsidR="00F234D4" w:rsidRDefault="00F234D4" w:rsidP="00F234D4">
      <w:pPr>
        <w:numPr>
          <w:ilvl w:val="0"/>
          <w:numId w:val="10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Jačanje konkurentnosti ljudskih potencijala u suradnji s privatnim sektorom kroz:</w:t>
      </w:r>
    </w:p>
    <w:p w:rsidR="00F234D4" w:rsidRDefault="00F234D4" w:rsidP="00F234D4">
      <w:pPr>
        <w:numPr>
          <w:ilvl w:val="0"/>
          <w:numId w:val="12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>
        <w:rPr>
          <w:rFonts w:ascii="Arial Narrow" w:eastAsia="Calibri" w:hAnsi="Arial Narrow"/>
          <w:noProof/>
          <w:sz w:val="22"/>
          <w:szCs w:val="22"/>
          <w:lang w:eastAsia="en-US"/>
        </w:rPr>
        <w:t>Suradnja s međunarodnim obrazovnim centrima izvrsnosti (prekogranična i transnacionalna suradnja)</w:t>
      </w:r>
    </w:p>
    <w:p w:rsidR="00F234D4" w:rsidRDefault="00F234D4" w:rsidP="00F234D4">
      <w:pPr>
        <w:numPr>
          <w:ilvl w:val="0"/>
          <w:numId w:val="12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>
        <w:rPr>
          <w:rFonts w:ascii="Arial Narrow" w:eastAsia="Calibri" w:hAnsi="Arial Narrow"/>
          <w:noProof/>
          <w:sz w:val="22"/>
          <w:szCs w:val="22"/>
          <w:lang w:eastAsia="en-US"/>
        </w:rPr>
        <w:t>Aktivnosti razvijanja programa cjeloživotnog učenja</w:t>
      </w:r>
    </w:p>
    <w:p w:rsidR="00F234D4" w:rsidRDefault="00F234D4" w:rsidP="00F234D4">
      <w:pPr>
        <w:numPr>
          <w:ilvl w:val="0"/>
          <w:numId w:val="12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>
        <w:rPr>
          <w:rFonts w:ascii="Arial Narrow" w:eastAsia="Calibri" w:hAnsi="Arial Narrow"/>
          <w:noProof/>
          <w:sz w:val="22"/>
          <w:szCs w:val="22"/>
          <w:lang w:eastAsia="en-US"/>
        </w:rPr>
        <w:t>drugo</w:t>
      </w:r>
    </w:p>
    <w:p w:rsidR="00F234D4" w:rsidRDefault="00F234D4" w:rsidP="00F234D4">
      <w:pPr>
        <w:ind w:left="1080"/>
        <w:jc w:val="both"/>
        <w:rPr>
          <w:rFonts w:ascii="Arial Narrow" w:hAnsi="Arial Narrow"/>
          <w:noProof/>
          <w:sz w:val="22"/>
          <w:szCs w:val="22"/>
        </w:rPr>
      </w:pPr>
    </w:p>
    <w:p w:rsidR="00F234D4" w:rsidRDefault="00F234D4" w:rsidP="00F234D4">
      <w:pPr>
        <w:numPr>
          <w:ilvl w:val="0"/>
          <w:numId w:val="10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Novi oblici promocije:</w:t>
      </w:r>
    </w:p>
    <w:p w:rsidR="00F234D4" w:rsidRDefault="00F234D4" w:rsidP="00F234D4">
      <w:pPr>
        <w:numPr>
          <w:ilvl w:val="0"/>
          <w:numId w:val="13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branding</w:t>
      </w:r>
    </w:p>
    <w:p w:rsidR="00F234D4" w:rsidRDefault="00F234D4" w:rsidP="00F234D4">
      <w:pPr>
        <w:numPr>
          <w:ilvl w:val="0"/>
          <w:numId w:val="13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uvođenje IT komunikacijske tehnologije (korištenje društvenih mreža, internet i dr.)</w:t>
      </w:r>
    </w:p>
    <w:p w:rsidR="00F234D4" w:rsidRDefault="00F234D4" w:rsidP="00F234D4">
      <w:pPr>
        <w:numPr>
          <w:ilvl w:val="0"/>
          <w:numId w:val="13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drugo</w:t>
      </w:r>
    </w:p>
    <w:p w:rsidR="00F234D4" w:rsidRDefault="00F234D4" w:rsidP="00F234D4">
      <w:pPr>
        <w:ind w:left="1080"/>
        <w:jc w:val="both"/>
        <w:rPr>
          <w:rFonts w:ascii="Arial Narrow" w:hAnsi="Arial Narrow"/>
          <w:noProof/>
          <w:sz w:val="22"/>
          <w:szCs w:val="22"/>
        </w:rPr>
      </w:pPr>
    </w:p>
    <w:p w:rsidR="00F234D4" w:rsidRDefault="00F234D4" w:rsidP="00F234D4">
      <w:pPr>
        <w:numPr>
          <w:ilvl w:val="0"/>
          <w:numId w:val="10"/>
        </w:num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Unapređenje procesa upravljanja destinacijom kroz:</w:t>
      </w:r>
    </w:p>
    <w:p w:rsidR="00F234D4" w:rsidRDefault="00F234D4" w:rsidP="00F234D4">
      <w:pPr>
        <w:numPr>
          <w:ilvl w:val="0"/>
          <w:numId w:val="14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>
        <w:rPr>
          <w:rFonts w:ascii="Arial Narrow" w:eastAsia="Calibri" w:hAnsi="Arial Narrow"/>
          <w:noProof/>
          <w:sz w:val="22"/>
          <w:szCs w:val="22"/>
          <w:lang w:eastAsia="en-US"/>
        </w:rPr>
        <w:t>povezivanje dionika u turizmu destinacije</w:t>
      </w:r>
    </w:p>
    <w:p w:rsidR="00F234D4" w:rsidRDefault="00F234D4" w:rsidP="00F234D4">
      <w:pPr>
        <w:numPr>
          <w:ilvl w:val="0"/>
          <w:numId w:val="14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>
        <w:rPr>
          <w:rFonts w:ascii="Arial Narrow" w:eastAsia="Calibri" w:hAnsi="Arial Narrow"/>
          <w:noProof/>
          <w:sz w:val="22"/>
          <w:szCs w:val="22"/>
          <w:lang w:eastAsia="en-US"/>
        </w:rPr>
        <w:t>klasteri</w:t>
      </w:r>
    </w:p>
    <w:p w:rsidR="00F234D4" w:rsidRDefault="00F234D4" w:rsidP="00F234D4">
      <w:pPr>
        <w:numPr>
          <w:ilvl w:val="0"/>
          <w:numId w:val="14"/>
        </w:numPr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>
        <w:rPr>
          <w:rFonts w:ascii="Arial Narrow" w:eastAsia="Calibri" w:hAnsi="Arial Narrow"/>
          <w:noProof/>
          <w:sz w:val="22"/>
          <w:szCs w:val="22"/>
          <w:lang w:eastAsia="en-US"/>
        </w:rPr>
        <w:t>drugo</w:t>
      </w:r>
    </w:p>
    <w:p w:rsidR="00F234D4" w:rsidRDefault="00F234D4" w:rsidP="00F234D4">
      <w:pPr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:rsidR="00F234D4" w:rsidRDefault="00F234D4" w:rsidP="00F234D4">
      <w:pPr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:rsidR="00F234D4" w:rsidRDefault="00F234D4" w:rsidP="00F234D4">
      <w:pPr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:rsidR="00F234D4" w:rsidRDefault="00F234D4" w:rsidP="00F234D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F234D4" w:rsidRDefault="00F234D4" w:rsidP="00F234D4">
      <w:pPr>
        <w:numPr>
          <w:ilvl w:val="0"/>
          <w:numId w:val="9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lastRenderedPageBreak/>
        <w:t>Prijavu na javni poziv mogu podnijeti:</w:t>
      </w:r>
    </w:p>
    <w:p w:rsidR="00F234D4" w:rsidRDefault="00F234D4" w:rsidP="00F234D4">
      <w:pPr>
        <w:ind w:left="54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</w:p>
    <w:p w:rsidR="00F234D4" w:rsidRDefault="00F234D4" w:rsidP="00F234D4">
      <w:pPr>
        <w:spacing w:after="240"/>
        <w:ind w:left="72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Srednje strukovne kojima su osnivači Grad Zagreb, županije ili Republika Hrvatska  (u daljnjem tekstu: Prijavitelj). Svaka škola (prijavitelj i/ili partner) može prijaviti samo jednog mentora na projektu. </w:t>
      </w:r>
    </w:p>
    <w:p w:rsidR="00F234D4" w:rsidRDefault="00F234D4" w:rsidP="00F234D4">
      <w:pPr>
        <w:numPr>
          <w:ilvl w:val="0"/>
          <w:numId w:val="9"/>
        </w:numPr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</w:pP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Ukupna planirana vrijednost javnog </w:t>
      </w:r>
      <w:r>
        <w:rPr>
          <w:rFonts w:ascii="Arial Narrow" w:hAnsi="Arial Narrow"/>
          <w:noProof/>
          <w:snapToGrid w:val="0"/>
          <w:sz w:val="22"/>
          <w:szCs w:val="22"/>
          <w:lang w:eastAsia="en-US"/>
        </w:rPr>
        <w:t>poziva:</w:t>
      </w:r>
      <w:r>
        <w:rPr>
          <w:rFonts w:ascii="Arial Narrow" w:hAnsi="Arial Narrow"/>
          <w:noProof/>
          <w:snapToGrid w:val="0"/>
          <w:sz w:val="22"/>
          <w:szCs w:val="22"/>
          <w:lang w:eastAsia="en-US"/>
        </w:rPr>
        <w:tab/>
        <w:t xml:space="preserve">  </w:t>
      </w:r>
      <w:r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400.000,00 kn</w:t>
      </w:r>
    </w:p>
    <w:p w:rsidR="00F234D4" w:rsidRDefault="00F234D4" w:rsidP="00F234D4">
      <w:pPr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</w:p>
    <w:p w:rsidR="00F234D4" w:rsidRDefault="00F234D4" w:rsidP="00F234D4">
      <w:pPr>
        <w:ind w:left="720"/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</w:p>
    <w:p w:rsidR="00F234D4" w:rsidRDefault="00F234D4" w:rsidP="00F234D4">
      <w:pPr>
        <w:numPr>
          <w:ilvl w:val="0"/>
          <w:numId w:val="9"/>
        </w:numPr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  <w:r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Iznos zatraženih sredstava može biti najviše:  </w:t>
      </w:r>
      <w:r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20.000</w:t>
      </w:r>
      <w:r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kn</w:t>
      </w:r>
      <w:r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ukoliko se prijavljuje </w:t>
      </w:r>
      <w:r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1</w:t>
      </w:r>
      <w:r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prijavitelj (škola)</w:t>
      </w:r>
    </w:p>
    <w:p w:rsidR="00F234D4" w:rsidRDefault="00F234D4" w:rsidP="00F234D4">
      <w:pPr>
        <w:ind w:left="4440"/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  <w:r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 xml:space="preserve">40.000 kn </w:t>
      </w:r>
      <w:r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ukoliko se prijavljuju </w:t>
      </w:r>
      <w:r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 xml:space="preserve">2 ili više </w:t>
      </w:r>
      <w:r>
        <w:rPr>
          <w:rFonts w:ascii="Arial Narrow" w:hAnsi="Arial Narrow"/>
          <w:noProof/>
          <w:snapToGrid w:val="0"/>
          <w:sz w:val="22"/>
          <w:szCs w:val="22"/>
          <w:lang w:eastAsia="en-US"/>
        </w:rPr>
        <w:t>prijavitelja (partneri)</w:t>
      </w:r>
    </w:p>
    <w:p w:rsidR="00F234D4" w:rsidRDefault="00F234D4" w:rsidP="00F234D4">
      <w:pPr>
        <w:ind w:left="72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Prijavitelj  po pojedinom projektu može tražiti do </w:t>
      </w:r>
      <w:r>
        <w:rPr>
          <w:rFonts w:ascii="Arial Narrow" w:hAnsi="Arial Narrow"/>
          <w:b/>
          <w:noProof/>
          <w:snapToGrid w:val="0"/>
          <w:color w:val="000000"/>
          <w:sz w:val="22"/>
          <w:szCs w:val="22"/>
          <w:lang w:eastAsia="en-US"/>
        </w:rPr>
        <w:t>100%</w:t>
      </w: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/>
          <w:noProof/>
          <w:snapToGrid w:val="0"/>
          <w:color w:val="000000"/>
          <w:sz w:val="22"/>
          <w:szCs w:val="22"/>
          <w:lang w:eastAsia="en-US"/>
        </w:rPr>
        <w:t>vrijednosti projekta</w:t>
      </w: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.  </w:t>
      </w:r>
    </w:p>
    <w:p w:rsidR="00F234D4" w:rsidRDefault="00F234D4" w:rsidP="00F234D4">
      <w:pPr>
        <w:rPr>
          <w:rFonts w:ascii="Arial Narrow" w:hAnsi="Arial Narrow"/>
          <w:noProof/>
          <w:snapToGrid w:val="0"/>
          <w:color w:val="365F91"/>
          <w:sz w:val="22"/>
          <w:szCs w:val="22"/>
          <w:lang w:eastAsia="en-US"/>
        </w:rPr>
      </w:pPr>
    </w:p>
    <w:p w:rsidR="00F234D4" w:rsidRDefault="00F234D4" w:rsidP="00F234D4">
      <w:pPr>
        <w:numPr>
          <w:ilvl w:val="0"/>
          <w:numId w:val="9"/>
        </w:numP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Prijavitelj može prijaviti najviše </w:t>
      </w:r>
      <w:r>
        <w:rPr>
          <w:rFonts w:ascii="Arial Narrow" w:hAnsi="Arial Narrow"/>
          <w:b/>
          <w:noProof/>
          <w:snapToGrid w:val="0"/>
          <w:color w:val="000000"/>
          <w:sz w:val="22"/>
          <w:szCs w:val="22"/>
          <w:lang w:eastAsia="en-US"/>
        </w:rPr>
        <w:t>jedan</w:t>
      </w: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projekt.</w:t>
      </w:r>
    </w:p>
    <w:p w:rsidR="00F234D4" w:rsidRDefault="00F234D4" w:rsidP="00F234D4">
      <w:pPr>
        <w:jc w:val="both"/>
        <w:rPr>
          <w:rFonts w:ascii="Arial Narrow" w:hAnsi="Arial Narrow"/>
          <w:b/>
          <w:color w:val="FFFFFF"/>
          <w:sz w:val="22"/>
          <w:szCs w:val="22"/>
        </w:rPr>
      </w:pPr>
    </w:p>
    <w:p w:rsidR="00F234D4" w:rsidRDefault="00F234D4" w:rsidP="00F234D4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>Potrebna dokumentacija za kandidiranje projekata:</w:t>
      </w:r>
    </w:p>
    <w:p w:rsidR="00F234D4" w:rsidRDefault="00F234D4" w:rsidP="00F234D4">
      <w:pPr>
        <w:ind w:left="72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F234D4" w:rsidRDefault="00F234D4" w:rsidP="00F234D4">
      <w:pPr>
        <w:numPr>
          <w:ilvl w:val="0"/>
          <w:numId w:val="15"/>
        </w:numPr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>Opisni obrazac prijave ispunjen isključivo na računalu, potpisan i ovjeren</w:t>
      </w:r>
    </w:p>
    <w:p w:rsidR="00F234D4" w:rsidRDefault="00F234D4" w:rsidP="00F234D4">
      <w:pPr>
        <w:numPr>
          <w:ilvl w:val="0"/>
          <w:numId w:val="15"/>
        </w:numPr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>Obrazac proračuna projekta ispunjen isključivo na računalu</w:t>
      </w:r>
    </w:p>
    <w:p w:rsidR="00F234D4" w:rsidRDefault="00F234D4" w:rsidP="00F234D4">
      <w:pPr>
        <w:numPr>
          <w:ilvl w:val="0"/>
          <w:numId w:val="15"/>
        </w:numPr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>Izjava o partnerstvu (ukoliko se projekt prijavljuje u partnerstvu)</w:t>
      </w:r>
    </w:p>
    <w:p w:rsidR="00F234D4" w:rsidRDefault="00F234D4" w:rsidP="00F234D4">
      <w:pPr>
        <w:numPr>
          <w:ilvl w:val="0"/>
          <w:numId w:val="15"/>
        </w:numPr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>Dokaz o pravnom statusu za nositelja i sve partnere (ukoliko se projekt izrađuje u partnerstvu)</w:t>
      </w:r>
    </w:p>
    <w:p w:rsidR="00F234D4" w:rsidRDefault="00F234D4" w:rsidP="00F234D4">
      <w:pPr>
        <w:numPr>
          <w:ilvl w:val="0"/>
          <w:numId w:val="15"/>
        </w:numPr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>Potvrda nadležne Porezne uprave o nepostojanju duga prema državi (ne starija od 30 dana) za nositelja i sve partnere (ukoliko se projekt izrađuje u partnerstvu)</w:t>
      </w:r>
    </w:p>
    <w:p w:rsidR="00F234D4" w:rsidRDefault="00F234D4" w:rsidP="00F234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>Dokaz da je voditelj projekta/profesor-mentor zaposlenik škole prijavitelja (u slučaju partnerstva, za sve mentore)</w:t>
      </w:r>
    </w:p>
    <w:p w:rsidR="00F234D4" w:rsidRDefault="00F234D4" w:rsidP="00F234D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F234D4" w:rsidRDefault="00F234D4" w:rsidP="00F234D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Ministarstvo zadržava pravo praćenja realizacije programa/projekta, kao i kontrole namjenskog trošenja sredstava.</w:t>
      </w:r>
    </w:p>
    <w:p w:rsidR="00F234D4" w:rsidRDefault="00F234D4" w:rsidP="00F234D4">
      <w:pPr>
        <w:autoSpaceDE w:val="0"/>
        <w:autoSpaceDN w:val="0"/>
        <w:adjustRightInd w:val="0"/>
        <w:ind w:left="540" w:hanging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F234D4" w:rsidRDefault="00F234D4" w:rsidP="00F234D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Prijave dostaviti na adresu: Ministarstvo turizma, 10000 Zagreb, Prisavlje 14, s naznakom: </w:t>
      </w:r>
      <w:r>
        <w:rPr>
          <w:rFonts w:ascii="Arial Narrow" w:hAnsi="Arial Narrow"/>
          <w:b/>
          <w:color w:val="000000"/>
          <w:sz w:val="22"/>
          <w:szCs w:val="22"/>
        </w:rPr>
        <w:t>„Prijava na javni poziv – R.br. 1180 „Promocija i jačanje kompetencija strukovnih zanimanja za turizam 2016“ -  ne otvarati“.</w:t>
      </w:r>
    </w:p>
    <w:p w:rsidR="00F234D4" w:rsidRDefault="00F234D4" w:rsidP="00F234D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F234D4" w:rsidRDefault="00F234D4" w:rsidP="00F234D4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Neće se uzeti u razmatranje prijave:</w:t>
      </w:r>
    </w:p>
    <w:p w:rsidR="00F234D4" w:rsidRDefault="00F234D4" w:rsidP="00F234D4">
      <w:pPr>
        <w:ind w:left="708"/>
        <w:rPr>
          <w:rFonts w:ascii="Arial Narrow" w:hAnsi="Arial Narrow"/>
          <w:sz w:val="22"/>
          <w:szCs w:val="22"/>
        </w:rPr>
      </w:pPr>
    </w:p>
    <w:p w:rsidR="00F234D4" w:rsidRDefault="00F234D4" w:rsidP="00F234D4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Ukoliko je prijava poslana izvan roka navedenog u Uputama</w:t>
      </w:r>
    </w:p>
    <w:p w:rsidR="00F234D4" w:rsidRDefault="00F234D4" w:rsidP="00F234D4">
      <w:pPr>
        <w:ind w:left="708"/>
        <w:rPr>
          <w:rFonts w:ascii="Arial Narrow" w:hAnsi="Arial Narrow"/>
          <w:sz w:val="22"/>
          <w:szCs w:val="22"/>
        </w:rPr>
      </w:pPr>
    </w:p>
    <w:p w:rsidR="00F234D4" w:rsidRDefault="00F234D4" w:rsidP="00F234D4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Javni poziv otvoren je </w:t>
      </w:r>
      <w:r w:rsidR="00C51651">
        <w:rPr>
          <w:rFonts w:ascii="Arial Narrow" w:hAnsi="Arial Narrow"/>
          <w:b/>
          <w:color w:val="000000"/>
          <w:sz w:val="22"/>
          <w:szCs w:val="22"/>
        </w:rPr>
        <w:t>do 2</w:t>
      </w:r>
      <w:r w:rsidR="00255009">
        <w:rPr>
          <w:rFonts w:ascii="Arial Narrow" w:hAnsi="Arial Narrow"/>
          <w:b/>
          <w:color w:val="000000"/>
          <w:sz w:val="22"/>
          <w:szCs w:val="22"/>
        </w:rPr>
        <w:t>0</w:t>
      </w:r>
      <w:r>
        <w:rPr>
          <w:rFonts w:ascii="Arial Narrow" w:hAnsi="Arial Narrow"/>
          <w:b/>
          <w:color w:val="000000"/>
          <w:sz w:val="22"/>
          <w:szCs w:val="22"/>
        </w:rPr>
        <w:t>. travnja  2016.</w:t>
      </w:r>
      <w:r>
        <w:rPr>
          <w:rFonts w:ascii="Arial Narrow" w:hAnsi="Arial Narrow"/>
          <w:color w:val="000000"/>
          <w:sz w:val="22"/>
          <w:szCs w:val="22"/>
        </w:rPr>
        <w:t xml:space="preserve"> godine</w:t>
      </w:r>
    </w:p>
    <w:p w:rsidR="00F234D4" w:rsidRDefault="00F234D4" w:rsidP="00F234D4">
      <w:pPr>
        <w:ind w:left="720"/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:rsidR="00F234D4" w:rsidRDefault="00F234D4" w:rsidP="00F234D4">
      <w:pPr>
        <w:jc w:val="both"/>
        <w:rPr>
          <w:rFonts w:ascii="Arial Narrow" w:hAnsi="Arial Narrow"/>
          <w:b/>
          <w:color w:val="FFFFFF"/>
          <w:sz w:val="22"/>
          <w:szCs w:val="22"/>
        </w:rPr>
      </w:pPr>
    </w:p>
    <w:p w:rsidR="00F234D4" w:rsidRDefault="00F234D4" w:rsidP="00F234D4">
      <w:pPr>
        <w:numPr>
          <w:ilvl w:val="0"/>
          <w:numId w:val="16"/>
        </w:numPr>
        <w:tabs>
          <w:tab w:val="num" w:pos="284"/>
        </w:tabs>
        <w:ind w:left="284"/>
        <w:jc w:val="both"/>
        <w:rPr>
          <w:rFonts w:ascii="Arial Narrow" w:hAnsi="Arial Narrow"/>
          <w:b/>
          <w:color w:val="FFFFFF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Upute za prijavitelje i cjelovita natječajna dokumentacija sastavni su dio ovog Javnog poziva i objavljeni su na internet stranicama Ministarstva turizma: </w:t>
      </w:r>
      <w:hyperlink r:id="rId10" w:history="1">
        <w:r>
          <w:rPr>
            <w:rStyle w:val="Hyperlink"/>
            <w:rFonts w:ascii="Arial Narrow" w:hAnsi="Arial Narrow"/>
            <w:b/>
            <w:sz w:val="22"/>
            <w:szCs w:val="22"/>
          </w:rPr>
          <w:t>www.mint.hr</w:t>
        </w:r>
      </w:hyperlink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color w:val="FFFFFF"/>
          <w:sz w:val="22"/>
          <w:szCs w:val="22"/>
        </w:rPr>
        <w:t xml:space="preserve">. </w:t>
      </w:r>
    </w:p>
    <w:p w:rsidR="00F234D4" w:rsidRDefault="00F234D4" w:rsidP="00F234D4">
      <w:pPr>
        <w:ind w:left="3540"/>
        <w:jc w:val="center"/>
        <w:rPr>
          <w:rFonts w:ascii="Arial Narrow" w:hAnsi="Arial Narrow"/>
          <w:color w:val="000000"/>
        </w:rPr>
      </w:pPr>
      <w: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rFonts w:ascii="Arial Narrow" w:hAnsi="Arial Narrow"/>
          <w:color w:val="000000"/>
        </w:rPr>
        <w:instrText xml:space="preserve"> FORMTEXT </w:instrText>
      </w:r>
      <w:r>
        <w:fldChar w:fldCharType="separate"/>
      </w:r>
      <w:r>
        <w:fldChar w:fldCharType="end"/>
      </w:r>
      <w:r>
        <w:rPr>
          <w:rFonts w:ascii="Arial Narrow" w:hAnsi="Arial Narrow"/>
          <w:color w:val="000000"/>
        </w:rPr>
        <w:br/>
      </w:r>
      <w: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rFonts w:ascii="Arial Narrow" w:hAnsi="Arial Narrow"/>
          <w:color w:val="000000"/>
        </w:rPr>
        <w:instrText xml:space="preserve"> FORMTEXT </w:instrText>
      </w:r>
      <w:r>
        <w:fldChar w:fldCharType="separate"/>
      </w:r>
      <w:r>
        <w:fldChar w:fldCharType="end"/>
      </w:r>
    </w:p>
    <w:bookmarkEnd w:id="5"/>
    <w:p w:rsidR="00F234D4" w:rsidRDefault="00F234D4" w:rsidP="00F234D4">
      <w:pPr>
        <w:rPr>
          <w:color w:val="000000"/>
        </w:rPr>
      </w:pPr>
    </w:p>
    <w:p w:rsidR="00F234D4" w:rsidRDefault="00F234D4" w:rsidP="00F234D4">
      <w:pPr>
        <w:rPr>
          <w:color w:val="000000"/>
        </w:rPr>
      </w:pPr>
    </w:p>
    <w:p w:rsidR="0064602F" w:rsidRDefault="0064602F">
      <w:pPr>
        <w:rPr>
          <w:color w:val="000000"/>
        </w:rPr>
      </w:pPr>
    </w:p>
    <w:sectPr w:rsidR="0064602F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E72"/>
    <w:multiLevelType w:val="hybridMultilevel"/>
    <w:tmpl w:val="B9CC490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B1130C"/>
    <w:multiLevelType w:val="hybridMultilevel"/>
    <w:tmpl w:val="C7C0A2FA"/>
    <w:lvl w:ilvl="0" w:tplc="6F429068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DE169572">
      <w:start w:val="1"/>
      <w:numFmt w:val="none"/>
      <w:lvlText w:val="X."/>
      <w:lvlJc w:val="right"/>
      <w:pPr>
        <w:tabs>
          <w:tab w:val="num" w:pos="720"/>
        </w:tabs>
        <w:ind w:left="720" w:hanging="181"/>
      </w:pPr>
      <w:rPr>
        <w:rFonts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45ADB"/>
    <w:multiLevelType w:val="hybridMultilevel"/>
    <w:tmpl w:val="2E200A6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96327"/>
    <w:multiLevelType w:val="hybridMultilevel"/>
    <w:tmpl w:val="43766D70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883FA1"/>
    <w:multiLevelType w:val="hybridMultilevel"/>
    <w:tmpl w:val="5B22B250"/>
    <w:lvl w:ilvl="0" w:tplc="2F32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E3A17"/>
    <w:multiLevelType w:val="hybridMultilevel"/>
    <w:tmpl w:val="3F42129C"/>
    <w:lvl w:ilvl="0" w:tplc="3C6443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80AFD"/>
    <w:multiLevelType w:val="hybridMultilevel"/>
    <w:tmpl w:val="966AEDF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D411790"/>
    <w:multiLevelType w:val="hybridMultilevel"/>
    <w:tmpl w:val="5DA4CB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6"/>
    <w:rsid w:val="00224D2A"/>
    <w:rsid w:val="00255009"/>
    <w:rsid w:val="0064602F"/>
    <w:rsid w:val="006F1238"/>
    <w:rsid w:val="00883A99"/>
    <w:rsid w:val="008A0D21"/>
    <w:rsid w:val="00C51651"/>
    <w:rsid w:val="00E73A79"/>
    <w:rsid w:val="00F2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3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234D4"/>
    <w:rPr>
      <w:rFonts w:ascii="Cambria" w:hAnsi="Cambria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23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3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234D4"/>
    <w:rPr>
      <w:rFonts w:ascii="Cambria" w:hAnsi="Cambria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23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t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6D27C-9A31-4248-A647-6B770FB16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F39D9-CFB1-480F-BE82-9447F972F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E99D18-9634-44AF-AED8-38D8F302F2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3472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hdesk</cp:lastModifiedBy>
  <cp:revision>2</cp:revision>
  <cp:lastPrinted>2016-03-31T09:13:00Z</cp:lastPrinted>
  <dcterms:created xsi:type="dcterms:W3CDTF">2016-04-01T10:18:00Z</dcterms:created>
  <dcterms:modified xsi:type="dcterms:W3CDTF">2016-04-01T10:18:00Z</dcterms:modified>
</cp:coreProperties>
</file>