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BB" w:rsidRDefault="00CA62BB">
      <w:pPr>
        <w:jc w:val="right"/>
        <w:rPr>
          <w:rFonts w:ascii="CarolinaBar-B39-25F2" w:hAnsi="CarolinaBar-B39-25F2"/>
          <w:color w:val="000000"/>
          <w:sz w:val="32"/>
          <w:szCs w:val="32"/>
        </w:rPr>
      </w:pPr>
      <w:bookmarkStart w:id="0" w:name="_GoBack"/>
      <w:bookmarkEnd w:id="0"/>
      <w:r>
        <w:rPr>
          <w:rFonts w:ascii="CarolinaBar-B39-25F2" w:hAnsi="CarolinaBar-B39-25F2"/>
          <w:color w:val="000000"/>
          <w:sz w:val="32"/>
          <w:szCs w:val="32"/>
        </w:rPr>
        <w:t>*P/</w:t>
      </w:r>
      <w:bookmarkStart w:id="1" w:name="jop"/>
      <w:r>
        <w:rPr>
          <w:rFonts w:ascii="CarolinaBar-B39-25F2" w:hAnsi="CarolinaBar-B39-25F2"/>
          <w:color w:val="000000"/>
          <w:sz w:val="32"/>
          <w:szCs w:val="32"/>
        </w:rPr>
        <w:t>2635021</w:t>
      </w:r>
      <w:bookmarkEnd w:id="1"/>
      <w:r>
        <w:rPr>
          <w:rFonts w:ascii="CarolinaBar-B39-25F2" w:hAnsi="CarolinaBar-B39-25F2"/>
          <w:color w:val="000000"/>
          <w:sz w:val="32"/>
          <w:szCs w:val="32"/>
        </w:rPr>
        <w:t>*</w:t>
      </w:r>
    </w:p>
    <w:p w:rsidR="00CA62BB" w:rsidRDefault="00CA62BB">
      <w:pPr>
        <w:jc w:val="right"/>
        <w:rPr>
          <w:color w:val="000000"/>
        </w:rPr>
      </w:pPr>
      <w:r>
        <w:rPr>
          <w:color w:val="000000"/>
        </w:rPr>
        <w:br/>
      </w:r>
    </w:p>
    <w:p w:rsidR="003264AD" w:rsidRPr="00460442" w:rsidRDefault="003264AD" w:rsidP="003264AD">
      <w:pPr>
        <w:jc w:val="both"/>
        <w:rPr>
          <w:rFonts w:ascii="Calibri" w:hAnsi="Calibri"/>
        </w:rPr>
      </w:pPr>
      <w:r w:rsidRPr="00460442">
        <w:rPr>
          <w:rFonts w:ascii="Calibri" w:hAnsi="Calibri"/>
        </w:rPr>
        <w:t>Temeljem Strategije razvoja turizma RH do 2020. godine, Strategije Vladinih programa za razdoblje 2015.-2017., Državnog proračuna Republike Hrvatske za 2015. godinu (NN 148/14), Za</w:t>
      </w:r>
      <w:r w:rsidR="00A131DC">
        <w:rPr>
          <w:rFonts w:ascii="Calibri" w:hAnsi="Calibri"/>
        </w:rPr>
        <w:t>kona o državnim potporama (NN 47/14</w:t>
      </w:r>
      <w:r w:rsidRPr="00460442">
        <w:rPr>
          <w:rFonts w:ascii="Calibri" w:hAnsi="Calibri"/>
        </w:rPr>
        <w:t>), Ministarstvo turizma provodi</w:t>
      </w:r>
    </w:p>
    <w:p w:rsidR="003264AD" w:rsidRPr="00460442" w:rsidRDefault="003264AD" w:rsidP="003264AD">
      <w:pPr>
        <w:jc w:val="both"/>
        <w:rPr>
          <w:rFonts w:ascii="Calibri" w:hAnsi="Calibri"/>
        </w:rPr>
      </w:pPr>
    </w:p>
    <w:p w:rsidR="0027780B" w:rsidRDefault="0027780B" w:rsidP="003264AD">
      <w:pPr>
        <w:jc w:val="center"/>
        <w:rPr>
          <w:rFonts w:ascii="Calibri" w:hAnsi="Calibri"/>
          <w:b/>
          <w:bCs/>
        </w:rPr>
      </w:pPr>
    </w:p>
    <w:p w:rsidR="003264AD" w:rsidRPr="00460442" w:rsidRDefault="003264AD" w:rsidP="003264AD">
      <w:pPr>
        <w:jc w:val="center"/>
        <w:rPr>
          <w:rFonts w:ascii="Calibri" w:hAnsi="Calibri"/>
          <w:b/>
          <w:bCs/>
        </w:rPr>
      </w:pPr>
      <w:r w:rsidRPr="00460442">
        <w:rPr>
          <w:rFonts w:ascii="Calibri" w:hAnsi="Calibri"/>
          <w:b/>
          <w:bCs/>
        </w:rPr>
        <w:t>P R O G R A M</w:t>
      </w:r>
    </w:p>
    <w:p w:rsidR="0027780B" w:rsidRDefault="0027780B" w:rsidP="003264AD">
      <w:pPr>
        <w:jc w:val="center"/>
        <w:rPr>
          <w:rFonts w:ascii="Calibri" w:hAnsi="Calibri"/>
          <w:b/>
          <w:bCs/>
        </w:rPr>
      </w:pPr>
    </w:p>
    <w:p w:rsidR="003264AD" w:rsidRPr="00460442" w:rsidRDefault="003264AD" w:rsidP="003264AD">
      <w:pPr>
        <w:jc w:val="center"/>
        <w:rPr>
          <w:rFonts w:ascii="Calibri" w:hAnsi="Calibri"/>
          <w:b/>
          <w:bCs/>
        </w:rPr>
      </w:pPr>
      <w:r w:rsidRPr="00460442">
        <w:rPr>
          <w:rFonts w:ascii="Calibri" w:hAnsi="Calibri"/>
          <w:b/>
          <w:bCs/>
        </w:rPr>
        <w:t>KONKURENTNOST TURISTIČKOG GOSPODARSTVA</w:t>
      </w:r>
    </w:p>
    <w:p w:rsidR="003264AD" w:rsidRPr="00460442" w:rsidRDefault="003264AD" w:rsidP="003264AD">
      <w:pPr>
        <w:jc w:val="both"/>
        <w:rPr>
          <w:rFonts w:ascii="Calibri" w:hAnsi="Calibri"/>
          <w:b/>
          <w:bCs/>
        </w:rPr>
      </w:pPr>
    </w:p>
    <w:p w:rsidR="0027780B" w:rsidRDefault="0027780B" w:rsidP="003264AD">
      <w:pPr>
        <w:jc w:val="both"/>
        <w:rPr>
          <w:rFonts w:ascii="Calibri" w:hAnsi="Calibri"/>
          <w:b/>
          <w:bCs/>
        </w:rPr>
      </w:pPr>
    </w:p>
    <w:p w:rsidR="003264AD" w:rsidRPr="00460442" w:rsidRDefault="003264AD" w:rsidP="003264AD">
      <w:pPr>
        <w:jc w:val="both"/>
        <w:rPr>
          <w:rFonts w:ascii="Calibri" w:hAnsi="Calibri"/>
          <w:b/>
          <w:bCs/>
        </w:rPr>
      </w:pPr>
      <w:r w:rsidRPr="00460442">
        <w:rPr>
          <w:rFonts w:ascii="Calibri" w:hAnsi="Calibri"/>
          <w:b/>
          <w:bCs/>
        </w:rPr>
        <w:t>PREDMET PROGRAMA</w:t>
      </w:r>
    </w:p>
    <w:p w:rsidR="003264AD" w:rsidRPr="00460442" w:rsidRDefault="003264AD" w:rsidP="003264AD">
      <w:pPr>
        <w:jc w:val="both"/>
        <w:rPr>
          <w:rFonts w:ascii="Calibri" w:hAnsi="Calibri"/>
        </w:rPr>
      </w:pPr>
    </w:p>
    <w:p w:rsidR="003264AD" w:rsidRPr="00460442" w:rsidRDefault="003264AD" w:rsidP="003264AD">
      <w:pPr>
        <w:jc w:val="both"/>
        <w:rPr>
          <w:rFonts w:ascii="Calibri" w:hAnsi="Calibri"/>
        </w:rPr>
      </w:pPr>
      <w:r w:rsidRPr="00460442">
        <w:rPr>
          <w:rFonts w:ascii="Calibri" w:hAnsi="Calibri"/>
        </w:rPr>
        <w:t>Dodjela bespovratnih sredstava za podizanje konkurentnosti turističkog gospodarstva kroz ciljanu potporu ulaganjima u diversifikaciju ponude, internacionalizaciju poslovanja, održivi razvoj, inovativne i nove destinacijske turističke proizvode, korištenje novih IT i komunikacijskih tehnologija i sl., namijenjenim očuvanju radnih mjesta, novom zapošljavanju, rastu i razvoju turističkog gospodarstva.</w:t>
      </w:r>
    </w:p>
    <w:p w:rsidR="003264AD" w:rsidRPr="00460442" w:rsidRDefault="003264AD" w:rsidP="003264AD">
      <w:pPr>
        <w:jc w:val="both"/>
        <w:rPr>
          <w:rFonts w:ascii="Calibri" w:hAnsi="Calibri"/>
        </w:rPr>
      </w:pPr>
    </w:p>
    <w:p w:rsidR="0027780B" w:rsidRDefault="0027780B" w:rsidP="003264AD">
      <w:pPr>
        <w:jc w:val="both"/>
        <w:rPr>
          <w:rFonts w:ascii="Calibri" w:hAnsi="Calibri"/>
          <w:b/>
          <w:bCs/>
        </w:rPr>
      </w:pPr>
    </w:p>
    <w:p w:rsidR="003264AD" w:rsidRPr="00460442" w:rsidRDefault="003264AD" w:rsidP="003264AD">
      <w:pPr>
        <w:jc w:val="both"/>
        <w:rPr>
          <w:rFonts w:ascii="Calibri" w:hAnsi="Calibri"/>
          <w:b/>
          <w:bCs/>
        </w:rPr>
      </w:pPr>
      <w:r w:rsidRPr="00460442">
        <w:rPr>
          <w:rFonts w:ascii="Calibri" w:hAnsi="Calibri"/>
          <w:b/>
          <w:bCs/>
        </w:rPr>
        <w:t>CILJEVI PROGRAMA</w:t>
      </w:r>
    </w:p>
    <w:p w:rsidR="003264AD" w:rsidRPr="00460442" w:rsidRDefault="003264AD" w:rsidP="003264AD">
      <w:pPr>
        <w:jc w:val="both"/>
        <w:rPr>
          <w:rFonts w:ascii="Calibri" w:hAnsi="Calibri"/>
        </w:rPr>
      </w:pPr>
    </w:p>
    <w:p w:rsidR="003264AD" w:rsidRPr="00460442" w:rsidRDefault="003264AD" w:rsidP="003264AD">
      <w:pPr>
        <w:jc w:val="both"/>
        <w:rPr>
          <w:rFonts w:ascii="Calibri" w:hAnsi="Calibri"/>
        </w:rPr>
      </w:pPr>
      <w:r w:rsidRPr="00460442">
        <w:rPr>
          <w:rFonts w:ascii="Calibri" w:hAnsi="Calibri"/>
        </w:rPr>
        <w:t>Sukladni su s Akcijskim planovima Strategije razvoja turizma RH do 2020. godine za razvoj malog i srednjeg poduzetništva, unapređenje ponude malih obiteljskih hotela, unapređenje obiteljskog smještaja, te podizanje konkurentnosti hrvatskog turizma, kroz:</w:t>
      </w:r>
    </w:p>
    <w:p w:rsidR="003264AD" w:rsidRPr="00460442" w:rsidRDefault="003264AD" w:rsidP="003264AD">
      <w:pPr>
        <w:pStyle w:val="ListParagraph"/>
        <w:numPr>
          <w:ilvl w:val="0"/>
          <w:numId w:val="1"/>
        </w:numPr>
        <w:rPr>
          <w:sz w:val="24"/>
          <w:szCs w:val="24"/>
        </w:rPr>
      </w:pPr>
      <w:r w:rsidRPr="00460442">
        <w:rPr>
          <w:sz w:val="24"/>
          <w:szCs w:val="24"/>
        </w:rPr>
        <w:t>razvoj ponude složenih/inovativnih/kreativnih turističkih proizvoda</w:t>
      </w:r>
    </w:p>
    <w:p w:rsidR="003264AD" w:rsidRPr="00460442" w:rsidRDefault="003264AD" w:rsidP="003264AD">
      <w:pPr>
        <w:pStyle w:val="ListParagraph"/>
        <w:numPr>
          <w:ilvl w:val="0"/>
          <w:numId w:val="1"/>
        </w:numPr>
        <w:rPr>
          <w:strike/>
          <w:sz w:val="24"/>
          <w:szCs w:val="24"/>
        </w:rPr>
      </w:pPr>
      <w:r w:rsidRPr="00460442">
        <w:rPr>
          <w:sz w:val="24"/>
          <w:szCs w:val="24"/>
        </w:rPr>
        <w:t>povećanje razine zauzetosti smještajnih kapaciteta i produljenje sezone u destinacijama</w:t>
      </w:r>
    </w:p>
    <w:p w:rsidR="003264AD" w:rsidRPr="00460442" w:rsidRDefault="003264AD" w:rsidP="003264AD">
      <w:pPr>
        <w:pStyle w:val="ListParagraph"/>
        <w:numPr>
          <w:ilvl w:val="0"/>
          <w:numId w:val="1"/>
        </w:numPr>
        <w:rPr>
          <w:sz w:val="24"/>
          <w:szCs w:val="24"/>
        </w:rPr>
      </w:pPr>
      <w:r w:rsidRPr="00460442">
        <w:rPr>
          <w:sz w:val="24"/>
          <w:szCs w:val="24"/>
        </w:rPr>
        <w:t>povećanje prosječne potrošnje po danu boravka</w:t>
      </w:r>
    </w:p>
    <w:p w:rsidR="003264AD" w:rsidRPr="00460442" w:rsidRDefault="003264AD" w:rsidP="003264AD">
      <w:pPr>
        <w:pStyle w:val="ListParagraph"/>
        <w:numPr>
          <w:ilvl w:val="0"/>
          <w:numId w:val="1"/>
        </w:numPr>
        <w:rPr>
          <w:sz w:val="24"/>
          <w:szCs w:val="24"/>
        </w:rPr>
      </w:pPr>
      <w:r w:rsidRPr="00460442">
        <w:rPr>
          <w:sz w:val="24"/>
          <w:szCs w:val="24"/>
        </w:rPr>
        <w:t>povećanje razine zaposlenosti i samozapošljavanja</w:t>
      </w:r>
    </w:p>
    <w:p w:rsidR="003264AD" w:rsidRPr="00460442" w:rsidRDefault="003264AD" w:rsidP="003264AD">
      <w:pPr>
        <w:pStyle w:val="ListParagraph"/>
        <w:numPr>
          <w:ilvl w:val="0"/>
          <w:numId w:val="1"/>
        </w:numPr>
        <w:rPr>
          <w:sz w:val="24"/>
          <w:szCs w:val="24"/>
        </w:rPr>
      </w:pPr>
      <w:r w:rsidRPr="00460442">
        <w:rPr>
          <w:sz w:val="24"/>
          <w:szCs w:val="24"/>
        </w:rPr>
        <w:t>umrežavanje s drugim pružateljima turističkih usluga na destinacijskoj razini</w:t>
      </w:r>
    </w:p>
    <w:p w:rsidR="003264AD" w:rsidRPr="00460442" w:rsidRDefault="003264AD" w:rsidP="003264AD">
      <w:pPr>
        <w:pStyle w:val="ListParagraph"/>
        <w:numPr>
          <w:ilvl w:val="0"/>
          <w:numId w:val="1"/>
        </w:numPr>
        <w:rPr>
          <w:sz w:val="24"/>
          <w:szCs w:val="24"/>
        </w:rPr>
      </w:pPr>
      <w:r w:rsidRPr="00460442">
        <w:rPr>
          <w:sz w:val="24"/>
          <w:szCs w:val="24"/>
        </w:rPr>
        <w:t>unapređenje međunarodne prepoznatljivosti</w:t>
      </w:r>
    </w:p>
    <w:p w:rsidR="003264AD" w:rsidRPr="00460442" w:rsidRDefault="003264AD" w:rsidP="003264AD">
      <w:pPr>
        <w:rPr>
          <w:rFonts w:ascii="Calibri" w:hAnsi="Calibri"/>
        </w:rPr>
      </w:pPr>
    </w:p>
    <w:p w:rsidR="0027780B" w:rsidRDefault="0027780B" w:rsidP="003264AD">
      <w:pPr>
        <w:jc w:val="both"/>
        <w:rPr>
          <w:rFonts w:ascii="Calibri" w:hAnsi="Calibri"/>
          <w:b/>
          <w:bCs/>
        </w:rPr>
      </w:pPr>
    </w:p>
    <w:p w:rsidR="003264AD" w:rsidRPr="00460442" w:rsidRDefault="003264AD" w:rsidP="003264AD">
      <w:pPr>
        <w:jc w:val="both"/>
        <w:rPr>
          <w:rFonts w:ascii="Calibri" w:hAnsi="Calibri"/>
          <w:b/>
          <w:bCs/>
        </w:rPr>
      </w:pPr>
      <w:r w:rsidRPr="00460442">
        <w:rPr>
          <w:rFonts w:ascii="Calibri" w:hAnsi="Calibri"/>
          <w:b/>
          <w:bCs/>
        </w:rPr>
        <w:t>IZNOS PRORAČUNSKIH SREDSTAVA</w:t>
      </w:r>
    </w:p>
    <w:p w:rsidR="003264AD" w:rsidRPr="00460442" w:rsidRDefault="003264AD" w:rsidP="003264AD">
      <w:pPr>
        <w:jc w:val="both"/>
        <w:rPr>
          <w:rFonts w:ascii="Calibri" w:hAnsi="Calibri"/>
        </w:rPr>
      </w:pPr>
    </w:p>
    <w:p w:rsidR="003264AD" w:rsidRPr="00460442" w:rsidRDefault="003264AD" w:rsidP="003264AD">
      <w:pPr>
        <w:jc w:val="both"/>
        <w:rPr>
          <w:rFonts w:ascii="Calibri" w:hAnsi="Calibri"/>
          <w:color w:val="FF0000"/>
        </w:rPr>
      </w:pPr>
      <w:r w:rsidRPr="00460442">
        <w:rPr>
          <w:rFonts w:ascii="Calibri" w:hAnsi="Calibri"/>
        </w:rPr>
        <w:t xml:space="preserve">Za dodjelu bespovratnih potpora temeljem ovog Programa planirana su sredstva u proračunu Ministarstva turizma na proračunskoj aktivnosti A587055 u ukupnom iznosu od 24.194.000,00 kuna. </w:t>
      </w:r>
    </w:p>
    <w:p w:rsidR="003264AD" w:rsidRPr="00460442" w:rsidRDefault="003264AD" w:rsidP="003264AD">
      <w:pPr>
        <w:jc w:val="both"/>
        <w:rPr>
          <w:rFonts w:ascii="Calibri" w:hAnsi="Calibri"/>
        </w:rPr>
      </w:pPr>
    </w:p>
    <w:p w:rsidR="003264AD" w:rsidRPr="00460442" w:rsidRDefault="003264AD" w:rsidP="003264AD">
      <w:pPr>
        <w:jc w:val="both"/>
        <w:rPr>
          <w:rFonts w:ascii="Calibri" w:hAnsi="Calibri"/>
          <w:b/>
          <w:bCs/>
        </w:rPr>
      </w:pPr>
      <w:r w:rsidRPr="00460442">
        <w:rPr>
          <w:rFonts w:ascii="Calibri" w:hAnsi="Calibri"/>
          <w:b/>
          <w:bCs/>
        </w:rPr>
        <w:t>KORISNICI</w:t>
      </w:r>
    </w:p>
    <w:p w:rsidR="003264AD" w:rsidRPr="00460442" w:rsidRDefault="003264AD" w:rsidP="003264AD">
      <w:pPr>
        <w:pStyle w:val="ListParagraph"/>
        <w:numPr>
          <w:ilvl w:val="0"/>
          <w:numId w:val="2"/>
        </w:numPr>
        <w:jc w:val="both"/>
        <w:rPr>
          <w:sz w:val="24"/>
          <w:szCs w:val="24"/>
        </w:rPr>
      </w:pPr>
      <w:r w:rsidRPr="00460442">
        <w:rPr>
          <w:sz w:val="24"/>
          <w:szCs w:val="24"/>
        </w:rPr>
        <w:t>subjekti malog gospodarstva (trgovačka društva izvan javnog sektora, obrti i zadruge)</w:t>
      </w:r>
    </w:p>
    <w:p w:rsidR="003264AD" w:rsidRPr="00460442" w:rsidRDefault="003264AD" w:rsidP="003264AD">
      <w:pPr>
        <w:pStyle w:val="ListParagraph"/>
        <w:numPr>
          <w:ilvl w:val="0"/>
          <w:numId w:val="2"/>
        </w:numPr>
        <w:jc w:val="both"/>
        <w:rPr>
          <w:sz w:val="24"/>
          <w:szCs w:val="24"/>
        </w:rPr>
      </w:pPr>
      <w:r w:rsidRPr="00460442">
        <w:rPr>
          <w:sz w:val="24"/>
          <w:szCs w:val="24"/>
        </w:rPr>
        <w:t>seljačka domaćinstva (OPG koje pruža ugostiteljske i/ili turističke usluge)</w:t>
      </w:r>
    </w:p>
    <w:p w:rsidR="003264AD" w:rsidRPr="00460442" w:rsidRDefault="003264AD" w:rsidP="003264AD">
      <w:pPr>
        <w:pStyle w:val="ListParagraph"/>
        <w:numPr>
          <w:ilvl w:val="0"/>
          <w:numId w:val="2"/>
        </w:numPr>
        <w:jc w:val="both"/>
        <w:rPr>
          <w:sz w:val="24"/>
          <w:szCs w:val="24"/>
        </w:rPr>
      </w:pPr>
      <w:r w:rsidRPr="00460442">
        <w:rPr>
          <w:sz w:val="24"/>
          <w:szCs w:val="24"/>
        </w:rPr>
        <w:t xml:space="preserve">fizičke osobe – privatni iznajmljivači </w:t>
      </w:r>
    </w:p>
    <w:p w:rsidR="003264AD" w:rsidRPr="00460442" w:rsidRDefault="003264AD" w:rsidP="003264AD">
      <w:pPr>
        <w:pStyle w:val="ListParagraph"/>
        <w:ind w:left="0"/>
        <w:jc w:val="both"/>
        <w:rPr>
          <w:sz w:val="24"/>
          <w:szCs w:val="24"/>
        </w:rPr>
      </w:pPr>
    </w:p>
    <w:p w:rsidR="003264AD" w:rsidRPr="00460442" w:rsidRDefault="003264AD" w:rsidP="003264AD">
      <w:pPr>
        <w:pStyle w:val="ListParagraph"/>
        <w:ind w:left="0"/>
        <w:jc w:val="both"/>
        <w:rPr>
          <w:b/>
          <w:bCs/>
          <w:sz w:val="24"/>
          <w:szCs w:val="24"/>
        </w:rPr>
      </w:pPr>
      <w:r w:rsidRPr="00460442">
        <w:rPr>
          <w:b/>
          <w:bCs/>
          <w:sz w:val="24"/>
          <w:szCs w:val="24"/>
        </w:rPr>
        <w:lastRenderedPageBreak/>
        <w:t>MJERE PROGRAMA - NAMJENA BESPOVRATNIH SREDSTAVA</w:t>
      </w:r>
    </w:p>
    <w:p w:rsidR="003264AD" w:rsidRPr="0004087E" w:rsidRDefault="003264AD" w:rsidP="003264AD">
      <w:pPr>
        <w:jc w:val="both"/>
        <w:rPr>
          <w:rFonts w:ascii="Calibri" w:hAnsi="Calibri"/>
        </w:rPr>
      </w:pPr>
    </w:p>
    <w:tbl>
      <w:tblPr>
        <w:tblW w:w="0" w:type="auto"/>
        <w:tblInd w:w="-10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0A0" w:firstRow="1" w:lastRow="0" w:firstColumn="1" w:lastColumn="0" w:noHBand="0" w:noVBand="0"/>
      </w:tblPr>
      <w:tblGrid>
        <w:gridCol w:w="1914"/>
        <w:gridCol w:w="7478"/>
      </w:tblGrid>
      <w:tr w:rsidR="003264AD" w:rsidRPr="0027780B" w:rsidTr="00CA62BB">
        <w:trPr>
          <w:trHeight w:val="840"/>
        </w:trPr>
        <w:tc>
          <w:tcPr>
            <w:tcW w:w="0" w:type="auto"/>
            <w:gridSpan w:val="2"/>
            <w:vAlign w:val="center"/>
          </w:tcPr>
          <w:p w:rsidR="003264AD" w:rsidRPr="0027780B" w:rsidRDefault="003264AD" w:rsidP="00CA62BB">
            <w:pPr>
              <w:spacing w:before="240"/>
              <w:jc w:val="center"/>
              <w:rPr>
                <w:rFonts w:ascii="Calibri" w:hAnsi="Calibri"/>
                <w:b/>
                <w:bCs/>
                <w:sz w:val="22"/>
                <w:szCs w:val="22"/>
              </w:rPr>
            </w:pPr>
            <w:r w:rsidRPr="0027780B">
              <w:rPr>
                <w:rFonts w:ascii="Calibri" w:hAnsi="Calibri"/>
                <w:b/>
                <w:bCs/>
                <w:sz w:val="22"/>
                <w:szCs w:val="22"/>
              </w:rPr>
              <w:t>MJERA A  - POVEĆANJE STANDARDA, KVALITETE I DODATNE PONUDE, DIVERSIFIKACIJA POSLOVANJA I ODRŽIVI RAZVOJ, KORIŠTENJE NOVIH TEHNOLOGIJA, POBOLJŠANJE SOCIJALNE UKLJUČENOSTI,  SLJEDEĆIH VRSTA UGOSTITELJSKIH  OBJEKATA</w:t>
            </w:r>
          </w:p>
        </w:tc>
      </w:tr>
      <w:tr w:rsidR="003264AD" w:rsidRPr="0027780B" w:rsidTr="00CA62BB">
        <w:tc>
          <w:tcPr>
            <w:tcW w:w="0" w:type="auto"/>
            <w:gridSpan w:val="2"/>
            <w:vAlign w:val="center"/>
          </w:tcPr>
          <w:p w:rsidR="003264AD" w:rsidRPr="0027780B" w:rsidRDefault="003264AD" w:rsidP="00CA62BB">
            <w:pPr>
              <w:jc w:val="center"/>
              <w:rPr>
                <w:rFonts w:ascii="Calibri" w:hAnsi="Calibri"/>
                <w:b/>
                <w:bCs/>
                <w:sz w:val="22"/>
                <w:szCs w:val="22"/>
              </w:rPr>
            </w:pPr>
          </w:p>
          <w:p w:rsidR="003264AD" w:rsidRPr="0027780B" w:rsidRDefault="003264AD" w:rsidP="00CA62BB">
            <w:pPr>
              <w:jc w:val="center"/>
              <w:rPr>
                <w:rFonts w:ascii="Calibri" w:hAnsi="Calibri"/>
                <w:b/>
                <w:bCs/>
                <w:sz w:val="22"/>
                <w:szCs w:val="22"/>
              </w:rPr>
            </w:pPr>
            <w:r w:rsidRPr="0027780B">
              <w:rPr>
                <w:rFonts w:ascii="Calibri" w:hAnsi="Calibri"/>
                <w:b/>
                <w:bCs/>
                <w:sz w:val="22"/>
                <w:szCs w:val="22"/>
              </w:rPr>
              <w:t xml:space="preserve">A1 – sve vrste objekata iz skupine „HOTELI“: hotel, </w:t>
            </w:r>
            <w:proofErr w:type="spellStart"/>
            <w:r w:rsidRPr="0027780B">
              <w:rPr>
                <w:rFonts w:ascii="Calibri" w:hAnsi="Calibri"/>
                <w:b/>
                <w:bCs/>
                <w:sz w:val="22"/>
                <w:szCs w:val="22"/>
              </w:rPr>
              <w:t>aparthotel</w:t>
            </w:r>
            <w:proofErr w:type="spellEnd"/>
            <w:r w:rsidRPr="0027780B">
              <w:rPr>
                <w:rFonts w:ascii="Calibri" w:hAnsi="Calibri"/>
                <w:b/>
                <w:bCs/>
                <w:sz w:val="22"/>
                <w:szCs w:val="22"/>
              </w:rPr>
              <w:t>, turističko naselje, hotel baština (</w:t>
            </w:r>
            <w:proofErr w:type="spellStart"/>
            <w:r w:rsidRPr="0027780B">
              <w:rPr>
                <w:rFonts w:ascii="Calibri" w:hAnsi="Calibri"/>
                <w:b/>
                <w:bCs/>
                <w:sz w:val="22"/>
                <w:szCs w:val="22"/>
              </w:rPr>
              <w:t>heritage</w:t>
            </w:r>
            <w:proofErr w:type="spellEnd"/>
            <w:r w:rsidRPr="0027780B">
              <w:rPr>
                <w:rFonts w:ascii="Calibri" w:hAnsi="Calibri"/>
                <w:b/>
                <w:bCs/>
                <w:sz w:val="22"/>
                <w:szCs w:val="22"/>
              </w:rPr>
              <w:t>), pansion, turistički apartmani, difuzni hotel, integralni hotel</w:t>
            </w:r>
          </w:p>
          <w:p w:rsidR="003264AD" w:rsidRPr="0027780B" w:rsidRDefault="003264AD" w:rsidP="00CA62BB">
            <w:pPr>
              <w:jc w:val="center"/>
              <w:rPr>
                <w:rFonts w:ascii="Calibri" w:hAnsi="Calibri"/>
                <w:b/>
                <w:bCs/>
                <w:sz w:val="22"/>
                <w:szCs w:val="22"/>
              </w:rPr>
            </w:pPr>
          </w:p>
        </w:tc>
      </w:tr>
      <w:tr w:rsidR="003264AD" w:rsidRPr="0027780B" w:rsidTr="00CA62BB">
        <w:tc>
          <w:tcPr>
            <w:tcW w:w="0" w:type="auto"/>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PRIHVATLJIVE PROJEKTNE AKTIVNOSTI</w:t>
            </w:r>
          </w:p>
        </w:tc>
        <w:tc>
          <w:tcPr>
            <w:tcW w:w="0" w:type="auto"/>
          </w:tcPr>
          <w:p w:rsidR="003264AD" w:rsidRPr="0027780B" w:rsidRDefault="003264AD" w:rsidP="00CA62BB">
            <w:pPr>
              <w:pStyle w:val="ListParagraph"/>
              <w:numPr>
                <w:ilvl w:val="0"/>
                <w:numId w:val="6"/>
              </w:numPr>
              <w:jc w:val="both"/>
              <w:rPr>
                <w:lang w:eastAsia="hr-HR"/>
              </w:rPr>
            </w:pPr>
            <w:r w:rsidRPr="0027780B">
              <w:t>obnova i uređenje smještajnih jedinica iz skupine „Hoteli“, te njihovih pratećih sadržaja u cilju povećanja standarda i kvalitete, uz uvjet dostizanja više kategorije ugostiteljskog objekta za jednu zvjezdicu, odnosno zadržavanja kvalitete postojeće kategorije (minimalno 3*), sukladno Pravilniku o razvrstavanju, kategorizaciji i posebnim standardima ugostiteljskih objekata iz skupine hoteli (</w:t>
            </w:r>
            <w:r w:rsidRPr="0027780B">
              <w:rPr>
                <w:bdr w:val="none" w:sz="0" w:space="0" w:color="auto" w:frame="1"/>
              </w:rPr>
              <w:t>NN 88/07</w:t>
            </w:r>
            <w:r w:rsidRPr="0027780B">
              <w:t xml:space="preserve">, </w:t>
            </w:r>
            <w:r w:rsidRPr="0027780B">
              <w:rPr>
                <w:bdr w:val="none" w:sz="0" w:space="0" w:color="auto" w:frame="1"/>
              </w:rPr>
              <w:t>58/08</w:t>
            </w:r>
            <w:r w:rsidRPr="0027780B">
              <w:t>,</w:t>
            </w:r>
            <w:r w:rsidRPr="0027780B">
              <w:rPr>
                <w:bdr w:val="none" w:sz="0" w:space="0" w:color="auto" w:frame="1"/>
              </w:rPr>
              <w:t xml:space="preserve"> 62/09</w:t>
            </w:r>
            <w:r w:rsidRPr="0027780B">
              <w:t xml:space="preserve">, </w:t>
            </w:r>
            <w:r w:rsidRPr="0027780B">
              <w:rPr>
                <w:bdr w:val="none" w:sz="0" w:space="0" w:color="auto" w:frame="1"/>
              </w:rPr>
              <w:t>63/13, 33/14, 92/14</w:t>
            </w:r>
            <w:r w:rsidRPr="0027780B">
              <w:t>)</w:t>
            </w:r>
          </w:p>
          <w:p w:rsidR="003264AD" w:rsidRPr="0027780B" w:rsidRDefault="003264AD" w:rsidP="00CA62BB">
            <w:pPr>
              <w:pStyle w:val="ListParagraph"/>
              <w:numPr>
                <w:ilvl w:val="0"/>
                <w:numId w:val="6"/>
              </w:numPr>
              <w:jc w:val="both"/>
              <w:rPr>
                <w:lang w:eastAsia="hr-HR"/>
              </w:rPr>
            </w:pPr>
            <w:r w:rsidRPr="0027780B">
              <w:t>razvoj i unapređenje dodatnih sadržaja: bazeni (minimalne vodene tlocrtne površine 30 m</w:t>
            </w:r>
            <w:r w:rsidRPr="0027780B">
              <w:rPr>
                <w:vertAlign w:val="superscript"/>
              </w:rPr>
              <w:t xml:space="preserve">2 </w:t>
            </w:r>
            <w:r w:rsidRPr="0027780B">
              <w:t>za vanjske i minimalne vodene tlocrtne površine 20 m</w:t>
            </w:r>
            <w:r w:rsidRPr="0027780B">
              <w:rPr>
                <w:vertAlign w:val="superscript"/>
              </w:rPr>
              <w:t>2</w:t>
            </w:r>
            <w:r w:rsidRPr="0027780B">
              <w:t xml:space="preserve"> za unutarnje bazene unutar čvrstih objekata), </w:t>
            </w:r>
            <w:proofErr w:type="spellStart"/>
            <w:r w:rsidRPr="0027780B">
              <w:t>wellness</w:t>
            </w:r>
            <w:proofErr w:type="spellEnd"/>
            <w:r w:rsidRPr="0027780B">
              <w:t xml:space="preserve"> i drugi rekreacijski sadržaji, sadržaji za djecu, prostori za društvena, zabavna i tematska događanja te drugi sadržaji koji doprinose zadanim ciljevima predmetnog Programa</w:t>
            </w:r>
          </w:p>
          <w:p w:rsidR="003264AD" w:rsidRPr="0027780B" w:rsidRDefault="003264AD" w:rsidP="00CA62BB">
            <w:pPr>
              <w:pStyle w:val="ListParagraph"/>
              <w:numPr>
                <w:ilvl w:val="0"/>
                <w:numId w:val="6"/>
              </w:numPr>
              <w:jc w:val="both"/>
              <w:rPr>
                <w:lang w:eastAsia="hr-HR"/>
              </w:rPr>
            </w:pPr>
            <w:r w:rsidRPr="0027780B">
              <w:t xml:space="preserve">ulaganje u realizaciju tematskog definiranja Hotela, odnosno utvrđivanja posebnog standarda za vrstu Hotel posebnog standarda: LJEČILIŠNI, </w:t>
            </w:r>
            <w:r w:rsidRPr="0027780B">
              <w:rPr>
                <w:lang w:eastAsia="hr-HR"/>
              </w:rPr>
              <w:t xml:space="preserve">BUSINESS (Poslovni), MEETINGS (Za sastanke), CONGRESS (Kongresni), CLUB (Klub), CASINO (Kasino), HOLIDAY RESORT (Odmorišni), COASTLINE HOLIDAY RESORT (Priobalni odmorišni), FAMILY (Obiteljski), SMALL &amp; FRIENDLY (Mali i prijateljski), SENIOR CITIZENS (Za starije osobe), HEALTH &amp; FITNESS (Zdravlje i </w:t>
            </w:r>
            <w:proofErr w:type="spellStart"/>
            <w:r w:rsidRPr="0027780B">
              <w:rPr>
                <w:lang w:eastAsia="hr-HR"/>
              </w:rPr>
              <w:t>fitness</w:t>
            </w:r>
            <w:proofErr w:type="spellEnd"/>
            <w:r w:rsidRPr="0027780B">
              <w:rPr>
                <w:lang w:eastAsia="hr-HR"/>
              </w:rPr>
              <w:t>), SPA (Toplice), WELLNESS, DIVING CLUB (Ronilački klub), MOTEL, SKI, ZA OSOBE S INVALIDITETOM (NN 88/07, 58/08, 62/09, 63/13, 33/14, 92/14)</w:t>
            </w:r>
          </w:p>
          <w:p w:rsidR="003264AD" w:rsidRPr="0027780B" w:rsidRDefault="003264AD" w:rsidP="00CA62BB">
            <w:pPr>
              <w:pStyle w:val="ListParagraph"/>
              <w:numPr>
                <w:ilvl w:val="0"/>
                <w:numId w:val="6"/>
              </w:numPr>
              <w:jc w:val="both"/>
            </w:pPr>
            <w:r w:rsidRPr="0027780B">
              <w:t>podizanje kvalitete hotela, ispunjavanjem uvjeta za dobivanje oznake kvalitete Q, sukladno Pravilniku za dodjelu oznake kvalitete ugostiteljskog objekta vrste Hotel (</w:t>
            </w:r>
            <w:r w:rsidRPr="0027780B">
              <w:rPr>
                <w:bdr w:val="none" w:sz="0" w:space="0" w:color="auto" w:frame="1"/>
              </w:rPr>
              <w:t>NN  36/12</w:t>
            </w:r>
            <w:r w:rsidRPr="0027780B">
              <w:t>)</w:t>
            </w:r>
          </w:p>
          <w:p w:rsidR="003264AD" w:rsidRPr="0027780B" w:rsidRDefault="003264AD" w:rsidP="00CA62BB">
            <w:pPr>
              <w:pStyle w:val="ListParagraph"/>
              <w:numPr>
                <w:ilvl w:val="0"/>
                <w:numId w:val="6"/>
              </w:numPr>
              <w:jc w:val="both"/>
            </w:pPr>
            <w:r w:rsidRPr="0027780B">
              <w:t>ulaganje u dostizanje uvjeta za uključenje postojećih smještajnih objekata u vrstu Hotel baština (</w:t>
            </w:r>
            <w:proofErr w:type="spellStart"/>
            <w:r w:rsidRPr="0027780B">
              <w:t>heritage</w:t>
            </w:r>
            <w:proofErr w:type="spellEnd"/>
            <w:r w:rsidRPr="0027780B">
              <w:t>), Difuzni hotel ili Integralni hotel, sukladno Pravilniku o razvrstavanju, kategorizaciji i posebnim  standardima ugostiteljskih objekata iz skupine Hoteli (</w:t>
            </w:r>
            <w:r w:rsidRPr="0027780B">
              <w:rPr>
                <w:bdr w:val="none" w:sz="0" w:space="0" w:color="auto" w:frame="1"/>
              </w:rPr>
              <w:t>NN 88/07</w:t>
            </w:r>
            <w:r w:rsidRPr="0027780B">
              <w:t xml:space="preserve">, </w:t>
            </w:r>
            <w:r w:rsidRPr="0027780B">
              <w:rPr>
                <w:bdr w:val="none" w:sz="0" w:space="0" w:color="auto" w:frame="1"/>
              </w:rPr>
              <w:t>58/08</w:t>
            </w:r>
            <w:r w:rsidRPr="0027780B">
              <w:t>,</w:t>
            </w:r>
            <w:r w:rsidRPr="0027780B">
              <w:rPr>
                <w:bdr w:val="none" w:sz="0" w:space="0" w:color="auto" w:frame="1"/>
              </w:rPr>
              <w:t xml:space="preserve"> 62/09</w:t>
            </w:r>
            <w:r w:rsidRPr="0027780B">
              <w:t xml:space="preserve">, </w:t>
            </w:r>
            <w:r w:rsidRPr="0027780B">
              <w:rPr>
                <w:bdr w:val="none" w:sz="0" w:space="0" w:color="auto" w:frame="1"/>
              </w:rPr>
              <w:t>63/13, 33/14</w:t>
            </w:r>
            <w:r w:rsidRPr="0027780B">
              <w:t>)</w:t>
            </w:r>
          </w:p>
          <w:p w:rsidR="003264AD" w:rsidRPr="0027780B" w:rsidRDefault="00B21F05" w:rsidP="006B1822">
            <w:pPr>
              <w:pStyle w:val="ListParagraph"/>
              <w:numPr>
                <w:ilvl w:val="0"/>
                <w:numId w:val="6"/>
              </w:numPr>
              <w:spacing w:line="276" w:lineRule="auto"/>
              <w:jc w:val="both"/>
            </w:pPr>
            <w:r w:rsidRPr="0027780B">
              <w:t xml:space="preserve">dostizanje uvjeta za dobivanje znaka zaštite okoliša Europske unije EU </w:t>
            </w:r>
            <w:proofErr w:type="spellStart"/>
            <w:r w:rsidRPr="0027780B">
              <w:t>Ecolabel</w:t>
            </w:r>
            <w:proofErr w:type="spellEnd"/>
            <w:r w:rsidRPr="0027780B">
              <w:t>, sukladno Uredbi (EZ) br. 66/2010 Europskog parlamenta i Vijeća od 25. studenoga 2009. o znaku za okoliš EU-a</w:t>
            </w:r>
            <w:r w:rsidRPr="0027780B">
              <w:rPr>
                <w:color w:val="000000"/>
              </w:rPr>
              <w:t xml:space="preserve"> i Pravilniku o znaku zaštite okoliša Europske unije – EU </w:t>
            </w:r>
            <w:proofErr w:type="spellStart"/>
            <w:r w:rsidRPr="0027780B">
              <w:rPr>
                <w:color w:val="000000"/>
              </w:rPr>
              <w:t>Ecolabel</w:t>
            </w:r>
            <w:proofErr w:type="spellEnd"/>
            <w:r w:rsidRPr="0027780B">
              <w:rPr>
                <w:color w:val="000000"/>
              </w:rPr>
              <w:t xml:space="preserve"> (NN 110/14)</w:t>
            </w:r>
          </w:p>
        </w:tc>
      </w:tr>
      <w:tr w:rsidR="003264AD" w:rsidRPr="0027780B" w:rsidTr="00CA62BB">
        <w:tc>
          <w:tcPr>
            <w:tcW w:w="0" w:type="auto"/>
            <w:tcBorders>
              <w:right w:val="single" w:sz="4" w:space="0" w:color="auto"/>
            </w:tcBorders>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SUBJEKTI KOJI MOGU PODNIJETI ZAHTJEV</w:t>
            </w:r>
          </w:p>
        </w:tc>
        <w:tc>
          <w:tcPr>
            <w:tcW w:w="0" w:type="auto"/>
            <w:tcBorders>
              <w:left w:val="single" w:sz="4" w:space="0" w:color="auto"/>
            </w:tcBorders>
            <w:vAlign w:val="center"/>
          </w:tcPr>
          <w:p w:rsidR="003264AD" w:rsidRPr="0027780B" w:rsidRDefault="003264AD" w:rsidP="00CA62BB">
            <w:pPr>
              <w:rPr>
                <w:rFonts w:ascii="Calibri" w:hAnsi="Calibri"/>
                <w:sz w:val="22"/>
                <w:szCs w:val="22"/>
              </w:rPr>
            </w:pPr>
            <w:r w:rsidRPr="0027780B">
              <w:rPr>
                <w:rFonts w:ascii="Calibri" w:hAnsi="Calibri"/>
                <w:sz w:val="22"/>
                <w:szCs w:val="22"/>
              </w:rPr>
              <w:t>Trgovačka društva izvan javnog sektora, obrti i zadruge</w:t>
            </w:r>
          </w:p>
        </w:tc>
      </w:tr>
      <w:tr w:rsidR="003264AD" w:rsidRPr="0027780B" w:rsidTr="009455F9">
        <w:trPr>
          <w:trHeight w:val="786"/>
        </w:trPr>
        <w:tc>
          <w:tcPr>
            <w:tcW w:w="0" w:type="auto"/>
            <w:tcBorders>
              <w:right w:val="single" w:sz="4" w:space="0" w:color="auto"/>
            </w:tcBorders>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IZNOS POTPORE</w:t>
            </w:r>
          </w:p>
        </w:tc>
        <w:tc>
          <w:tcPr>
            <w:tcW w:w="0" w:type="auto"/>
            <w:tcBorders>
              <w:left w:val="single" w:sz="4" w:space="0" w:color="auto"/>
            </w:tcBorders>
            <w:vAlign w:val="center"/>
          </w:tcPr>
          <w:p w:rsidR="003264AD" w:rsidRPr="0027780B" w:rsidRDefault="003264AD" w:rsidP="009455F9">
            <w:pPr>
              <w:rPr>
                <w:rFonts w:ascii="Calibri" w:hAnsi="Calibri"/>
                <w:sz w:val="22"/>
                <w:szCs w:val="22"/>
              </w:rPr>
            </w:pPr>
            <w:r w:rsidRPr="0027780B">
              <w:rPr>
                <w:rFonts w:ascii="Calibri" w:hAnsi="Calibri"/>
                <w:sz w:val="22"/>
                <w:szCs w:val="22"/>
              </w:rPr>
              <w:t xml:space="preserve">Najniži iznos potpore koji se može dodijeliti je </w:t>
            </w:r>
            <w:r w:rsidRPr="0027780B">
              <w:rPr>
                <w:rFonts w:ascii="Calibri" w:hAnsi="Calibri"/>
                <w:b/>
                <w:bCs/>
                <w:sz w:val="22"/>
                <w:szCs w:val="22"/>
              </w:rPr>
              <w:t xml:space="preserve">50.000 </w:t>
            </w:r>
            <w:r w:rsidRPr="0027780B">
              <w:rPr>
                <w:rFonts w:ascii="Calibri" w:hAnsi="Calibri"/>
                <w:sz w:val="22"/>
                <w:szCs w:val="22"/>
              </w:rPr>
              <w:t>kuna</w:t>
            </w:r>
          </w:p>
          <w:p w:rsidR="003264AD" w:rsidRPr="0027780B" w:rsidRDefault="003264AD" w:rsidP="009455F9">
            <w:pPr>
              <w:rPr>
                <w:rFonts w:ascii="Calibri" w:hAnsi="Calibri"/>
                <w:sz w:val="22"/>
                <w:szCs w:val="22"/>
              </w:rPr>
            </w:pPr>
            <w:r w:rsidRPr="0027780B">
              <w:rPr>
                <w:rFonts w:ascii="Calibri" w:hAnsi="Calibri"/>
                <w:sz w:val="22"/>
                <w:szCs w:val="22"/>
              </w:rPr>
              <w:t xml:space="preserve">Najviši iznos potpore koji se može dodijeliti je </w:t>
            </w:r>
            <w:r w:rsidRPr="0027780B">
              <w:rPr>
                <w:rFonts w:ascii="Calibri" w:hAnsi="Calibri"/>
                <w:b/>
                <w:bCs/>
                <w:sz w:val="22"/>
                <w:szCs w:val="22"/>
              </w:rPr>
              <w:t>500.000</w:t>
            </w:r>
            <w:r w:rsidRPr="0027780B">
              <w:rPr>
                <w:rFonts w:ascii="Calibri" w:hAnsi="Calibri"/>
                <w:sz w:val="22"/>
                <w:szCs w:val="22"/>
              </w:rPr>
              <w:t xml:space="preserve"> kuna</w:t>
            </w:r>
          </w:p>
        </w:tc>
      </w:tr>
      <w:tr w:rsidR="004B5C39" w:rsidRPr="0027780B" w:rsidTr="00A32374">
        <w:trPr>
          <w:trHeight w:val="786"/>
        </w:trPr>
        <w:tc>
          <w:tcPr>
            <w:tcW w:w="0" w:type="auto"/>
            <w:gridSpan w:val="2"/>
            <w:vAlign w:val="center"/>
          </w:tcPr>
          <w:p w:rsidR="004B5C39" w:rsidRPr="0027780B" w:rsidRDefault="004B5C39" w:rsidP="009455F9">
            <w:pPr>
              <w:rPr>
                <w:rFonts w:ascii="Calibri" w:hAnsi="Calibri"/>
                <w:sz w:val="22"/>
                <w:szCs w:val="22"/>
              </w:rPr>
            </w:pPr>
          </w:p>
        </w:tc>
      </w:tr>
      <w:tr w:rsidR="003264AD" w:rsidRPr="0027780B" w:rsidTr="00CA62BB">
        <w:tc>
          <w:tcPr>
            <w:tcW w:w="0" w:type="auto"/>
            <w:gridSpan w:val="2"/>
            <w:tcBorders>
              <w:top w:val="single" w:sz="4" w:space="0" w:color="3366FF"/>
            </w:tcBorders>
            <w:vAlign w:val="center"/>
          </w:tcPr>
          <w:p w:rsidR="003264AD" w:rsidRPr="0027780B" w:rsidRDefault="003264AD" w:rsidP="00CA62BB">
            <w:pPr>
              <w:jc w:val="center"/>
              <w:rPr>
                <w:rFonts w:ascii="Calibri" w:hAnsi="Calibri"/>
                <w:b/>
                <w:bCs/>
                <w:sz w:val="22"/>
                <w:szCs w:val="22"/>
              </w:rPr>
            </w:pPr>
          </w:p>
          <w:p w:rsidR="003264AD" w:rsidRPr="0027780B" w:rsidRDefault="003264AD" w:rsidP="00CA62BB">
            <w:pPr>
              <w:jc w:val="center"/>
              <w:rPr>
                <w:rFonts w:ascii="Calibri" w:hAnsi="Calibri"/>
                <w:b/>
                <w:bCs/>
                <w:sz w:val="22"/>
                <w:szCs w:val="22"/>
              </w:rPr>
            </w:pPr>
            <w:r w:rsidRPr="0027780B">
              <w:rPr>
                <w:rFonts w:ascii="Calibri" w:hAnsi="Calibri"/>
                <w:b/>
                <w:bCs/>
                <w:sz w:val="22"/>
                <w:szCs w:val="22"/>
              </w:rPr>
              <w:t xml:space="preserve">A2 - „KAMPOVI I DRUGE VRSTE UGOSTITELJSKIH OBJEKATA ZA SMJEŠTAJ“ (kamp, kamp naselje, </w:t>
            </w:r>
            <w:proofErr w:type="spellStart"/>
            <w:r w:rsidRPr="0027780B">
              <w:rPr>
                <w:rFonts w:ascii="Calibri" w:hAnsi="Calibri"/>
                <w:b/>
                <w:bCs/>
                <w:sz w:val="22"/>
                <w:szCs w:val="22"/>
              </w:rPr>
              <w:t>kampiralište</w:t>
            </w:r>
            <w:proofErr w:type="spellEnd"/>
            <w:r w:rsidRPr="0027780B">
              <w:rPr>
                <w:rFonts w:ascii="Calibri" w:hAnsi="Calibri"/>
                <w:b/>
                <w:bCs/>
                <w:sz w:val="22"/>
                <w:szCs w:val="22"/>
              </w:rPr>
              <w:t>, kamp odmorište, hostel i druge vrste ugostiteljskih objekata za smještaj)</w:t>
            </w:r>
          </w:p>
          <w:p w:rsidR="003264AD" w:rsidRPr="0027780B" w:rsidRDefault="003264AD" w:rsidP="00CA62BB">
            <w:pPr>
              <w:jc w:val="center"/>
              <w:rPr>
                <w:rFonts w:ascii="Calibri" w:hAnsi="Calibri"/>
                <w:color w:val="FF0000"/>
                <w:sz w:val="22"/>
                <w:szCs w:val="22"/>
              </w:rPr>
            </w:pPr>
          </w:p>
        </w:tc>
      </w:tr>
      <w:tr w:rsidR="003264AD" w:rsidRPr="0027780B" w:rsidTr="00CA62BB">
        <w:trPr>
          <w:trHeight w:val="1072"/>
        </w:trPr>
        <w:tc>
          <w:tcPr>
            <w:tcW w:w="0" w:type="auto"/>
            <w:vAlign w:val="center"/>
          </w:tcPr>
          <w:p w:rsidR="003264AD" w:rsidRPr="0027780B" w:rsidRDefault="003264AD" w:rsidP="00CA62BB">
            <w:pPr>
              <w:rPr>
                <w:rFonts w:ascii="Calibri" w:hAnsi="Calibri"/>
                <w:b/>
                <w:bCs/>
                <w:color w:val="FFFFFF"/>
                <w:sz w:val="22"/>
                <w:szCs w:val="22"/>
              </w:rPr>
            </w:pPr>
            <w:r w:rsidRPr="0027780B">
              <w:rPr>
                <w:rFonts w:ascii="Calibri" w:hAnsi="Calibri"/>
                <w:b/>
                <w:bCs/>
                <w:sz w:val="22"/>
                <w:szCs w:val="22"/>
              </w:rPr>
              <w:t>PRIHVATLJIVE PROJEKTNE AKTIVNOSTI</w:t>
            </w:r>
          </w:p>
        </w:tc>
        <w:tc>
          <w:tcPr>
            <w:tcW w:w="0" w:type="auto"/>
          </w:tcPr>
          <w:p w:rsidR="003264AD" w:rsidRPr="0027780B" w:rsidRDefault="003264AD" w:rsidP="00CA62BB">
            <w:pPr>
              <w:pStyle w:val="ListParagraph"/>
              <w:numPr>
                <w:ilvl w:val="0"/>
                <w:numId w:val="7"/>
              </w:numPr>
              <w:jc w:val="both"/>
            </w:pPr>
            <w:r w:rsidRPr="0027780B">
              <w:t>obnova, proširenje i uređenje postojećeg KAMPA, podizanje kvalitete osnovnih i dodatnih sadržaja uz uvjet dostizanja više kategorije kampa za jednu zvjezdicu, odnosno zadržavanja kvalitete postojeće kategorije (minimalno 3*), sukladno Pravilniku o razvrstavanju, minimalnim uvjetima i kategorizaciji ugostiteljskih objekata iz skupine "Kampovi i druge vrste ugostiteljskih objekata za smještaj“ (NN 75/08, 45/09, 11/14)</w:t>
            </w:r>
          </w:p>
          <w:p w:rsidR="003264AD" w:rsidRPr="0027780B" w:rsidRDefault="003264AD" w:rsidP="00CA62BB">
            <w:pPr>
              <w:pStyle w:val="ListParagraph"/>
              <w:numPr>
                <w:ilvl w:val="0"/>
                <w:numId w:val="7"/>
              </w:numPr>
              <w:jc w:val="both"/>
            </w:pPr>
            <w:r w:rsidRPr="0027780B">
              <w:t xml:space="preserve">izgradnja novih KAMPOVA, posebice </w:t>
            </w:r>
            <w:proofErr w:type="spellStart"/>
            <w:r w:rsidRPr="0027780B">
              <w:t>kampirališta</w:t>
            </w:r>
            <w:proofErr w:type="spellEnd"/>
            <w:r w:rsidRPr="0027780B">
              <w:t xml:space="preserve"> i kamp odmorišta, na područjima gdje takvih sadržaja nema (uz prometnice, jadransko zaleđe i kontinent) sukladno Pravilniku o razvrstavanju, minimalnim uvjetima i kategorizaciji ugostiteljskih objekata iz skupine "Kampovi i druge vrste ugostiteljskih objekata za smještaj“ (NN 75/08, 45/09, 11/14)</w:t>
            </w:r>
          </w:p>
          <w:p w:rsidR="003264AD" w:rsidRPr="0027780B" w:rsidRDefault="003264AD" w:rsidP="00CA62BB">
            <w:pPr>
              <w:pStyle w:val="ListParagraph"/>
              <w:numPr>
                <w:ilvl w:val="0"/>
                <w:numId w:val="7"/>
              </w:numPr>
              <w:jc w:val="both"/>
            </w:pPr>
            <w:r w:rsidRPr="0027780B">
              <w:t>obnova i uređenje drugih vrsta ugostiteljskih objekata za smještaj - hostela i drugih vrsta objekata za smještaj (sukladno Pravilniku NN 49/08, 45/09, 94/13), te njihovih pratećih sadržaja u cilju povećanja standarda i kvalitete</w:t>
            </w:r>
          </w:p>
          <w:p w:rsidR="003264AD" w:rsidRPr="0027780B" w:rsidRDefault="003264AD" w:rsidP="00CA62BB">
            <w:pPr>
              <w:numPr>
                <w:ilvl w:val="0"/>
                <w:numId w:val="7"/>
              </w:numPr>
              <w:jc w:val="both"/>
              <w:rPr>
                <w:rFonts w:ascii="Calibri" w:hAnsi="Calibri"/>
                <w:sz w:val="22"/>
                <w:szCs w:val="22"/>
              </w:rPr>
            </w:pPr>
            <w:r w:rsidRPr="0027780B">
              <w:rPr>
                <w:rFonts w:ascii="Calibri" w:hAnsi="Calibri"/>
                <w:sz w:val="22"/>
                <w:szCs w:val="22"/>
              </w:rPr>
              <w:t>razvoj i unapređenje dodatnih sadržaja: bazeni (minimalne vodene tlocrtne površine 30 m</w:t>
            </w:r>
            <w:r w:rsidRPr="0027780B">
              <w:rPr>
                <w:rFonts w:ascii="Calibri" w:hAnsi="Calibri"/>
                <w:sz w:val="22"/>
                <w:szCs w:val="22"/>
                <w:vertAlign w:val="superscript"/>
              </w:rPr>
              <w:t xml:space="preserve">2 </w:t>
            </w:r>
            <w:r w:rsidRPr="0027780B">
              <w:rPr>
                <w:rFonts w:ascii="Calibri" w:hAnsi="Calibri"/>
                <w:sz w:val="22"/>
                <w:szCs w:val="22"/>
              </w:rPr>
              <w:t>za vanjske i minimalne vodene tlocrtne površine 20 m</w:t>
            </w:r>
            <w:r w:rsidRPr="0027780B">
              <w:rPr>
                <w:rFonts w:ascii="Calibri" w:hAnsi="Calibri"/>
                <w:sz w:val="22"/>
                <w:szCs w:val="22"/>
                <w:vertAlign w:val="superscript"/>
              </w:rPr>
              <w:t>2</w:t>
            </w:r>
            <w:r w:rsidRPr="0027780B">
              <w:rPr>
                <w:rFonts w:ascii="Calibri" w:hAnsi="Calibri"/>
                <w:sz w:val="22"/>
                <w:szCs w:val="22"/>
              </w:rPr>
              <w:t xml:space="preserve"> za unutarnje bazene), sadržaji vezani za animaciju, sport i rekreaciju, sadržaji za djecu, zabavni i tematski parkovi i sl.</w:t>
            </w:r>
          </w:p>
          <w:p w:rsidR="003264AD" w:rsidRPr="0027780B" w:rsidRDefault="003264AD" w:rsidP="00CA62BB">
            <w:pPr>
              <w:numPr>
                <w:ilvl w:val="0"/>
                <w:numId w:val="7"/>
              </w:numPr>
              <w:jc w:val="both"/>
              <w:rPr>
                <w:rFonts w:ascii="Calibri" w:hAnsi="Calibri"/>
                <w:sz w:val="22"/>
                <w:szCs w:val="22"/>
              </w:rPr>
            </w:pPr>
            <w:r w:rsidRPr="0027780B">
              <w:rPr>
                <w:rFonts w:ascii="Calibri" w:hAnsi="Calibri"/>
                <w:sz w:val="22"/>
                <w:szCs w:val="22"/>
              </w:rPr>
              <w:t>povećanje i poboljšanje standardnih i propisanih uvjeta za osobe sa invaliditetom</w:t>
            </w:r>
          </w:p>
          <w:p w:rsidR="003264AD" w:rsidRPr="0027780B" w:rsidRDefault="006C419B" w:rsidP="00CA62BB">
            <w:pPr>
              <w:pStyle w:val="ListParagraph"/>
              <w:numPr>
                <w:ilvl w:val="0"/>
                <w:numId w:val="7"/>
              </w:numPr>
              <w:jc w:val="both"/>
            </w:pPr>
            <w:r w:rsidRPr="0027780B">
              <w:t xml:space="preserve">dostizanje uvjeta za dobivanje znaka zaštite okoliša Europske unije EU </w:t>
            </w:r>
            <w:proofErr w:type="spellStart"/>
            <w:r w:rsidRPr="0027780B">
              <w:t>Ecolabel</w:t>
            </w:r>
            <w:proofErr w:type="spellEnd"/>
            <w:r w:rsidRPr="0027780B">
              <w:t xml:space="preserve">, sukladno Uredbi (EZ) br. 66/2010 Europskog parlamenta i Vijeća od 25. studenoga 2009. o znaku za okoliš EU-a i Pravilniku o znaku zaštite okoliša Europske unije – EU </w:t>
            </w:r>
            <w:proofErr w:type="spellStart"/>
            <w:r w:rsidRPr="0027780B">
              <w:t>Ecolabel</w:t>
            </w:r>
            <w:proofErr w:type="spellEnd"/>
            <w:r w:rsidRPr="0027780B">
              <w:t xml:space="preserve"> (NN 110/14)</w:t>
            </w:r>
          </w:p>
          <w:p w:rsidR="003264AD" w:rsidRPr="0027780B" w:rsidRDefault="003264AD" w:rsidP="00CA62BB">
            <w:pPr>
              <w:pStyle w:val="ListParagraph"/>
              <w:ind w:left="360"/>
              <w:jc w:val="both"/>
            </w:pPr>
          </w:p>
        </w:tc>
      </w:tr>
      <w:tr w:rsidR="003264AD" w:rsidRPr="0027780B" w:rsidTr="00CA62BB">
        <w:trPr>
          <w:trHeight w:val="496"/>
        </w:trPr>
        <w:tc>
          <w:tcPr>
            <w:tcW w:w="0" w:type="auto"/>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SUBJEKTI KOJI MOGU PODNIJETI ZAHTJEV</w:t>
            </w:r>
          </w:p>
        </w:tc>
        <w:tc>
          <w:tcPr>
            <w:tcW w:w="0" w:type="auto"/>
            <w:vAlign w:val="center"/>
          </w:tcPr>
          <w:p w:rsidR="003264AD" w:rsidRPr="0027780B" w:rsidRDefault="003264AD" w:rsidP="00CA62BB">
            <w:pPr>
              <w:jc w:val="both"/>
              <w:rPr>
                <w:rFonts w:ascii="Calibri" w:hAnsi="Calibri"/>
                <w:sz w:val="22"/>
                <w:szCs w:val="22"/>
              </w:rPr>
            </w:pPr>
            <w:r w:rsidRPr="0027780B">
              <w:rPr>
                <w:rFonts w:ascii="Calibri" w:hAnsi="Calibri"/>
                <w:sz w:val="22"/>
                <w:szCs w:val="22"/>
              </w:rPr>
              <w:t>Trgovačka društva izvan javnog sektora, obrti i zadruge</w:t>
            </w:r>
          </w:p>
        </w:tc>
      </w:tr>
      <w:tr w:rsidR="003264AD" w:rsidRPr="0027780B" w:rsidTr="009455F9">
        <w:trPr>
          <w:trHeight w:val="815"/>
        </w:trPr>
        <w:tc>
          <w:tcPr>
            <w:tcW w:w="0" w:type="auto"/>
            <w:vAlign w:val="center"/>
          </w:tcPr>
          <w:p w:rsidR="003264AD" w:rsidRPr="0027780B" w:rsidRDefault="003264AD" w:rsidP="00CA62BB">
            <w:pPr>
              <w:rPr>
                <w:rFonts w:ascii="Calibri" w:hAnsi="Calibri"/>
                <w:b/>
                <w:bCs/>
                <w:color w:val="FFFFFF"/>
                <w:sz w:val="22"/>
                <w:szCs w:val="22"/>
              </w:rPr>
            </w:pPr>
            <w:r w:rsidRPr="0027780B">
              <w:rPr>
                <w:rFonts w:ascii="Calibri" w:hAnsi="Calibri"/>
                <w:b/>
                <w:bCs/>
                <w:sz w:val="22"/>
                <w:szCs w:val="22"/>
              </w:rPr>
              <w:t>IZNOS POTPORE</w:t>
            </w:r>
          </w:p>
        </w:tc>
        <w:tc>
          <w:tcPr>
            <w:tcW w:w="0" w:type="auto"/>
            <w:vAlign w:val="center"/>
          </w:tcPr>
          <w:p w:rsidR="003264AD" w:rsidRPr="0027780B" w:rsidRDefault="003264AD" w:rsidP="00CA62BB">
            <w:pPr>
              <w:jc w:val="both"/>
              <w:rPr>
                <w:rFonts w:ascii="Calibri" w:hAnsi="Calibri"/>
                <w:sz w:val="22"/>
                <w:szCs w:val="22"/>
              </w:rPr>
            </w:pPr>
            <w:r w:rsidRPr="0027780B">
              <w:rPr>
                <w:rFonts w:ascii="Calibri" w:hAnsi="Calibri"/>
                <w:sz w:val="22"/>
                <w:szCs w:val="22"/>
              </w:rPr>
              <w:t xml:space="preserve">Najniži iznos potpore koji se može dodijeliti je </w:t>
            </w:r>
            <w:r w:rsidRPr="0027780B">
              <w:rPr>
                <w:rFonts w:ascii="Calibri" w:hAnsi="Calibri"/>
                <w:b/>
                <w:bCs/>
                <w:sz w:val="22"/>
                <w:szCs w:val="22"/>
              </w:rPr>
              <w:t>50.000</w:t>
            </w:r>
            <w:r w:rsidRPr="0027780B">
              <w:rPr>
                <w:rFonts w:ascii="Calibri" w:hAnsi="Calibri"/>
                <w:sz w:val="22"/>
                <w:szCs w:val="22"/>
              </w:rPr>
              <w:t xml:space="preserve"> kuna</w:t>
            </w:r>
          </w:p>
          <w:p w:rsidR="003264AD" w:rsidRPr="0027780B" w:rsidRDefault="003264AD" w:rsidP="00CA62BB">
            <w:pPr>
              <w:jc w:val="both"/>
              <w:rPr>
                <w:rFonts w:ascii="Calibri" w:hAnsi="Calibri"/>
                <w:sz w:val="22"/>
                <w:szCs w:val="22"/>
                <w:highlight w:val="yellow"/>
              </w:rPr>
            </w:pPr>
            <w:r w:rsidRPr="0027780B">
              <w:rPr>
                <w:rFonts w:ascii="Calibri" w:hAnsi="Calibri"/>
                <w:sz w:val="22"/>
                <w:szCs w:val="22"/>
              </w:rPr>
              <w:t xml:space="preserve">Najviši iznos potpore koji se može dodijeliti je </w:t>
            </w:r>
            <w:r w:rsidRPr="0027780B">
              <w:rPr>
                <w:rFonts w:ascii="Calibri" w:hAnsi="Calibri"/>
                <w:b/>
                <w:bCs/>
                <w:sz w:val="22"/>
                <w:szCs w:val="22"/>
              </w:rPr>
              <w:t>300.000</w:t>
            </w:r>
            <w:r w:rsidRPr="0027780B">
              <w:rPr>
                <w:rFonts w:ascii="Calibri" w:hAnsi="Calibri"/>
                <w:sz w:val="22"/>
                <w:szCs w:val="22"/>
              </w:rPr>
              <w:t xml:space="preserve"> kuna </w:t>
            </w:r>
          </w:p>
        </w:tc>
      </w:tr>
      <w:tr w:rsidR="003264AD" w:rsidRPr="0027780B" w:rsidTr="00CA62BB">
        <w:trPr>
          <w:trHeight w:val="496"/>
        </w:trPr>
        <w:tc>
          <w:tcPr>
            <w:tcW w:w="0" w:type="auto"/>
            <w:gridSpan w:val="2"/>
            <w:vAlign w:val="center"/>
          </w:tcPr>
          <w:p w:rsidR="003264AD" w:rsidRPr="0027780B" w:rsidRDefault="003264AD" w:rsidP="00CA62BB">
            <w:pPr>
              <w:rPr>
                <w:rFonts w:ascii="Calibri" w:hAnsi="Calibri"/>
                <w:b/>
                <w:bCs/>
                <w:sz w:val="22"/>
                <w:szCs w:val="22"/>
              </w:rPr>
            </w:pPr>
          </w:p>
          <w:p w:rsidR="003264AD" w:rsidRPr="0027780B" w:rsidRDefault="003264AD" w:rsidP="00CA62BB">
            <w:pPr>
              <w:jc w:val="both"/>
              <w:rPr>
                <w:rFonts w:ascii="Calibri" w:hAnsi="Calibri"/>
                <w:sz w:val="22"/>
                <w:szCs w:val="22"/>
              </w:rPr>
            </w:pPr>
          </w:p>
        </w:tc>
      </w:tr>
      <w:tr w:rsidR="003264AD" w:rsidRPr="0027780B" w:rsidTr="00CA62BB">
        <w:tc>
          <w:tcPr>
            <w:tcW w:w="0" w:type="auto"/>
            <w:gridSpan w:val="2"/>
            <w:vAlign w:val="center"/>
          </w:tcPr>
          <w:p w:rsidR="003264AD" w:rsidRPr="0027780B" w:rsidRDefault="003264AD" w:rsidP="00CA62BB">
            <w:pPr>
              <w:pStyle w:val="ListParagraph"/>
              <w:ind w:left="644"/>
              <w:jc w:val="both"/>
              <w:rPr>
                <w:b/>
                <w:bCs/>
              </w:rPr>
            </w:pPr>
          </w:p>
          <w:p w:rsidR="003264AD" w:rsidRPr="0027780B" w:rsidRDefault="00564959" w:rsidP="00564959">
            <w:pPr>
              <w:pStyle w:val="ListParagraph"/>
              <w:ind w:left="644"/>
              <w:jc w:val="center"/>
            </w:pPr>
            <w:r w:rsidRPr="0027780B">
              <w:rPr>
                <w:b/>
                <w:bCs/>
              </w:rPr>
              <w:t xml:space="preserve">A3 - SELJAČKO DOMAĆINSVO </w:t>
            </w:r>
            <w:r w:rsidR="00ED566F" w:rsidRPr="0027780B">
              <w:rPr>
                <w:b/>
                <w:bCs/>
              </w:rPr>
              <w:t>(OPG koje pruža ugostiteljske i/ili turističke usluge i PG /trgovačko društvo, obrt, zadruga/ za kušaonice)</w:t>
            </w:r>
          </w:p>
          <w:p w:rsidR="003264AD" w:rsidRPr="0027780B" w:rsidRDefault="003264AD" w:rsidP="00CA62BB">
            <w:pPr>
              <w:pStyle w:val="ListParagraph"/>
              <w:ind w:left="644"/>
              <w:jc w:val="both"/>
            </w:pPr>
          </w:p>
        </w:tc>
      </w:tr>
      <w:tr w:rsidR="003264AD" w:rsidRPr="0027780B" w:rsidTr="00CA62BB">
        <w:tc>
          <w:tcPr>
            <w:tcW w:w="0" w:type="auto"/>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PRIHVATLJIVE PROJEKTNE AKTIVNOSTI</w:t>
            </w:r>
          </w:p>
        </w:tc>
        <w:tc>
          <w:tcPr>
            <w:tcW w:w="0" w:type="auto"/>
            <w:vAlign w:val="center"/>
          </w:tcPr>
          <w:p w:rsidR="003264AD" w:rsidRPr="0027780B" w:rsidRDefault="003264AD" w:rsidP="00CA62BB">
            <w:pPr>
              <w:numPr>
                <w:ilvl w:val="0"/>
                <w:numId w:val="8"/>
              </w:numPr>
              <w:jc w:val="both"/>
              <w:rPr>
                <w:rFonts w:ascii="Calibri" w:hAnsi="Calibri"/>
                <w:sz w:val="22"/>
                <w:szCs w:val="22"/>
              </w:rPr>
            </w:pPr>
            <w:r w:rsidRPr="0027780B">
              <w:rPr>
                <w:rFonts w:ascii="Calibri" w:hAnsi="Calibri"/>
                <w:sz w:val="22"/>
                <w:szCs w:val="22"/>
              </w:rPr>
              <w:t>obnova, proširenje i uređenje postojećeg seljačkog domaćinstva, podizanje kvalitete osnovnih i dodatnih sadržaja uz uvjet dostizanja više kategorije seljačkog domaćinstva za jedno sunce, odnosno zadržavanja kvalitete postojeće kategorije (minimalno 3 sunca) ili dobivanje oznake kvalitete sukladno Pravilniku o pružanju ugostiteljskih usluga u seljačkom domaćinstvu (</w:t>
            </w:r>
            <w:r w:rsidRPr="0027780B">
              <w:rPr>
                <w:rFonts w:ascii="Calibri" w:hAnsi="Calibri"/>
                <w:sz w:val="22"/>
                <w:szCs w:val="22"/>
                <w:bdr w:val="none" w:sz="0" w:space="0" w:color="auto" w:frame="1"/>
              </w:rPr>
              <w:t>NN 5/08</w:t>
            </w:r>
            <w:r w:rsidRPr="0027780B">
              <w:rPr>
                <w:rFonts w:ascii="Calibri" w:hAnsi="Calibri"/>
                <w:sz w:val="22"/>
                <w:szCs w:val="22"/>
              </w:rPr>
              <w:t xml:space="preserve">, </w:t>
            </w:r>
            <w:r w:rsidRPr="0027780B">
              <w:rPr>
                <w:rFonts w:ascii="Calibri" w:hAnsi="Calibri"/>
                <w:sz w:val="22"/>
                <w:szCs w:val="22"/>
                <w:bdr w:val="none" w:sz="0" w:space="0" w:color="auto" w:frame="1"/>
              </w:rPr>
              <w:t>44/11</w:t>
            </w:r>
            <w:r w:rsidRPr="0027780B">
              <w:rPr>
                <w:rFonts w:ascii="Calibri" w:hAnsi="Calibri"/>
                <w:sz w:val="22"/>
                <w:szCs w:val="22"/>
              </w:rPr>
              <w:t>,</w:t>
            </w:r>
            <w:r w:rsidRPr="0027780B">
              <w:rPr>
                <w:rFonts w:ascii="Calibri" w:hAnsi="Calibri"/>
                <w:sz w:val="22"/>
                <w:szCs w:val="22"/>
                <w:bdr w:val="none" w:sz="0" w:space="0" w:color="auto" w:frame="1"/>
              </w:rPr>
              <w:t xml:space="preserve"> 118/11)</w:t>
            </w:r>
          </w:p>
          <w:p w:rsidR="003264AD" w:rsidRPr="0027780B" w:rsidRDefault="003264AD" w:rsidP="00CA62BB">
            <w:pPr>
              <w:numPr>
                <w:ilvl w:val="0"/>
                <w:numId w:val="8"/>
              </w:numPr>
              <w:rPr>
                <w:rFonts w:ascii="Calibri" w:hAnsi="Calibri"/>
                <w:sz w:val="22"/>
                <w:szCs w:val="22"/>
              </w:rPr>
            </w:pPr>
            <w:r w:rsidRPr="0027780B">
              <w:rPr>
                <w:rFonts w:ascii="Calibri" w:hAnsi="Calibri"/>
                <w:sz w:val="22"/>
                <w:szCs w:val="22"/>
              </w:rPr>
              <w:t xml:space="preserve">ulaganje u uređenje izletišta, kušaonica, vinotočja (NN 5/08, 44/11, 118/11, </w:t>
            </w:r>
            <w:r w:rsidRPr="0027780B">
              <w:rPr>
                <w:rFonts w:ascii="Calibri" w:hAnsi="Calibri"/>
                <w:sz w:val="22"/>
                <w:szCs w:val="22"/>
              </w:rPr>
              <w:lastRenderedPageBreak/>
              <w:t xml:space="preserve">150/14) </w:t>
            </w:r>
          </w:p>
          <w:p w:rsidR="003264AD" w:rsidRPr="0027780B" w:rsidRDefault="003264AD" w:rsidP="00CA62BB">
            <w:pPr>
              <w:numPr>
                <w:ilvl w:val="0"/>
                <w:numId w:val="8"/>
              </w:numPr>
              <w:rPr>
                <w:rFonts w:ascii="Calibri" w:hAnsi="Calibri"/>
                <w:sz w:val="22"/>
                <w:szCs w:val="22"/>
              </w:rPr>
            </w:pPr>
            <w:r w:rsidRPr="0027780B">
              <w:rPr>
                <w:rFonts w:ascii="Calibri" w:hAnsi="Calibri"/>
                <w:sz w:val="22"/>
                <w:szCs w:val="22"/>
              </w:rPr>
              <w:t>investicije usmjerene ka osnivanju novog seljačkog domaćinstva (NN 5/08, 44/11, 118/11) ili ugostiteljskog objekta vrste kušaonica (NN 150/14). Uz Zahtjev je obvezna dostava foto dokumentacije postojećeg stanja, projektna dokumentacija planiranog zahvata, te obvezna dostava registracije po završetku projekta, u roku koji je definiran Ugovorom između davatelja i korisnika potpore.</w:t>
            </w:r>
          </w:p>
          <w:p w:rsidR="003264AD" w:rsidRPr="0027780B" w:rsidRDefault="003264AD" w:rsidP="00CA62BB">
            <w:pPr>
              <w:numPr>
                <w:ilvl w:val="0"/>
                <w:numId w:val="8"/>
              </w:numPr>
              <w:jc w:val="both"/>
              <w:rPr>
                <w:rFonts w:ascii="Calibri" w:hAnsi="Calibri"/>
                <w:sz w:val="22"/>
                <w:szCs w:val="22"/>
              </w:rPr>
            </w:pPr>
            <w:r w:rsidRPr="0027780B">
              <w:rPr>
                <w:rFonts w:ascii="Calibri" w:hAnsi="Calibri"/>
                <w:sz w:val="22"/>
                <w:szCs w:val="22"/>
              </w:rPr>
              <w:t>razvoj i unapređenje dodatnih sadržaja sukladno Zakonu o pružanju usluga u turizmu (NN 68/07, 88/10): sportsko-rekreativni, kreativno-edukativni sadržaji, sadržaji vezani za etno zbirke i tradicijske zanate, te poljoprivredne aktivnosti namijenjene turistima, bazeni (minimalne vodene tlocrtne površine 30 m</w:t>
            </w:r>
            <w:r w:rsidRPr="0027780B">
              <w:rPr>
                <w:rFonts w:ascii="Calibri" w:hAnsi="Calibri"/>
                <w:sz w:val="22"/>
                <w:szCs w:val="22"/>
                <w:vertAlign w:val="superscript"/>
              </w:rPr>
              <w:t>2</w:t>
            </w:r>
            <w:r w:rsidRPr="0027780B">
              <w:rPr>
                <w:rFonts w:ascii="Calibri" w:hAnsi="Calibri"/>
                <w:sz w:val="22"/>
                <w:szCs w:val="22"/>
              </w:rPr>
              <w:t xml:space="preserve"> za vanjske i minimalne vodene tlocrtne površine 20 m</w:t>
            </w:r>
            <w:r w:rsidRPr="0027780B">
              <w:rPr>
                <w:rFonts w:ascii="Calibri" w:hAnsi="Calibri"/>
                <w:sz w:val="22"/>
                <w:szCs w:val="22"/>
                <w:vertAlign w:val="superscript"/>
              </w:rPr>
              <w:t xml:space="preserve">2 </w:t>
            </w:r>
            <w:r w:rsidRPr="0027780B">
              <w:rPr>
                <w:rFonts w:ascii="Calibri" w:hAnsi="Calibri"/>
                <w:sz w:val="22"/>
                <w:szCs w:val="22"/>
              </w:rPr>
              <w:t>za unutarnje bazene), tematski parkovi, zabavni parkovi i parkirna mjesta</w:t>
            </w:r>
          </w:p>
          <w:p w:rsidR="003264AD" w:rsidRPr="0027780B" w:rsidRDefault="003264AD" w:rsidP="00CA62BB">
            <w:pPr>
              <w:numPr>
                <w:ilvl w:val="0"/>
                <w:numId w:val="8"/>
              </w:numPr>
              <w:jc w:val="both"/>
              <w:rPr>
                <w:rFonts w:ascii="Calibri" w:hAnsi="Calibri"/>
                <w:sz w:val="22"/>
                <w:szCs w:val="22"/>
              </w:rPr>
            </w:pPr>
            <w:r w:rsidRPr="0027780B">
              <w:rPr>
                <w:rFonts w:ascii="Calibri" w:hAnsi="Calibri"/>
                <w:sz w:val="22"/>
                <w:szCs w:val="22"/>
              </w:rPr>
              <w:t>povećanje i poboljšanje standardnih i propisanih uvjeta za osobe sa invaliditetom</w:t>
            </w:r>
          </w:p>
          <w:p w:rsidR="003264AD" w:rsidRPr="0027780B" w:rsidRDefault="003264AD" w:rsidP="00CA62BB">
            <w:pPr>
              <w:ind w:left="360"/>
              <w:jc w:val="both"/>
              <w:rPr>
                <w:rFonts w:ascii="Calibri" w:hAnsi="Calibri"/>
                <w:sz w:val="22"/>
                <w:szCs w:val="22"/>
              </w:rPr>
            </w:pPr>
          </w:p>
        </w:tc>
      </w:tr>
      <w:tr w:rsidR="003264AD" w:rsidRPr="0027780B" w:rsidTr="009455F9">
        <w:trPr>
          <w:trHeight w:val="988"/>
        </w:trPr>
        <w:tc>
          <w:tcPr>
            <w:tcW w:w="0" w:type="auto"/>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lastRenderedPageBreak/>
              <w:t>SUBJEKTI KOJI MOGU PODNIJETI ZAHTJEV</w:t>
            </w:r>
          </w:p>
        </w:tc>
        <w:tc>
          <w:tcPr>
            <w:tcW w:w="0" w:type="auto"/>
            <w:vAlign w:val="center"/>
          </w:tcPr>
          <w:p w:rsidR="003264AD" w:rsidRPr="0027780B" w:rsidRDefault="003264AD" w:rsidP="00002520">
            <w:pPr>
              <w:jc w:val="both"/>
              <w:rPr>
                <w:rFonts w:ascii="Calibri" w:hAnsi="Calibri"/>
                <w:sz w:val="22"/>
                <w:szCs w:val="22"/>
              </w:rPr>
            </w:pPr>
            <w:r w:rsidRPr="0027780B">
              <w:rPr>
                <w:rFonts w:ascii="Calibri" w:hAnsi="Calibri"/>
                <w:sz w:val="22"/>
                <w:szCs w:val="22"/>
              </w:rPr>
              <w:t>OPG koje pruža ugostiteljske i/ili turističke uslug</w:t>
            </w:r>
            <w:r w:rsidR="00002520" w:rsidRPr="0027780B">
              <w:rPr>
                <w:rFonts w:ascii="Calibri" w:hAnsi="Calibri"/>
                <w:sz w:val="22"/>
                <w:szCs w:val="22"/>
              </w:rPr>
              <w:t>e</w:t>
            </w:r>
            <w:r w:rsidRPr="0027780B">
              <w:rPr>
                <w:rFonts w:ascii="Calibri" w:hAnsi="Calibri"/>
                <w:sz w:val="22"/>
                <w:szCs w:val="22"/>
              </w:rPr>
              <w:t>, te trgovačka društva izvan javnog sektora, obrti i zadruge za kušaonice sukladno NN 150/14</w:t>
            </w:r>
          </w:p>
        </w:tc>
      </w:tr>
      <w:tr w:rsidR="003264AD" w:rsidRPr="0027780B" w:rsidTr="009455F9">
        <w:trPr>
          <w:trHeight w:val="930"/>
        </w:trPr>
        <w:tc>
          <w:tcPr>
            <w:tcW w:w="0" w:type="auto"/>
            <w:vAlign w:val="center"/>
          </w:tcPr>
          <w:p w:rsidR="003264AD" w:rsidRPr="0027780B" w:rsidRDefault="003264AD" w:rsidP="00CA62BB">
            <w:pPr>
              <w:rPr>
                <w:rFonts w:ascii="Calibri" w:hAnsi="Calibri"/>
                <w:b/>
                <w:bCs/>
                <w:color w:val="FFFFFF"/>
                <w:sz w:val="22"/>
                <w:szCs w:val="22"/>
              </w:rPr>
            </w:pPr>
            <w:r w:rsidRPr="0027780B">
              <w:rPr>
                <w:rFonts w:ascii="Calibri" w:hAnsi="Calibri"/>
                <w:b/>
                <w:bCs/>
                <w:sz w:val="22"/>
                <w:szCs w:val="22"/>
              </w:rPr>
              <w:t>IZNOS POTPORE</w:t>
            </w:r>
          </w:p>
        </w:tc>
        <w:tc>
          <w:tcPr>
            <w:tcW w:w="0" w:type="auto"/>
            <w:vAlign w:val="center"/>
          </w:tcPr>
          <w:p w:rsidR="003264AD" w:rsidRPr="0027780B" w:rsidRDefault="003264AD" w:rsidP="00CA62BB">
            <w:pPr>
              <w:jc w:val="both"/>
              <w:rPr>
                <w:rFonts w:ascii="Calibri" w:hAnsi="Calibri"/>
                <w:sz w:val="22"/>
                <w:szCs w:val="22"/>
              </w:rPr>
            </w:pPr>
            <w:r w:rsidRPr="0027780B">
              <w:rPr>
                <w:rFonts w:ascii="Calibri" w:hAnsi="Calibri"/>
                <w:sz w:val="22"/>
                <w:szCs w:val="22"/>
              </w:rPr>
              <w:t xml:space="preserve">Najniži iznos potpore koji se može dodijeliti je </w:t>
            </w:r>
            <w:r w:rsidRPr="0027780B">
              <w:rPr>
                <w:rFonts w:ascii="Calibri" w:hAnsi="Calibri"/>
                <w:b/>
                <w:bCs/>
                <w:sz w:val="22"/>
                <w:szCs w:val="22"/>
              </w:rPr>
              <w:t xml:space="preserve">30.000 </w:t>
            </w:r>
            <w:r w:rsidRPr="0027780B">
              <w:rPr>
                <w:rFonts w:ascii="Calibri" w:hAnsi="Calibri"/>
                <w:sz w:val="22"/>
                <w:szCs w:val="22"/>
              </w:rPr>
              <w:t>kuna</w:t>
            </w:r>
          </w:p>
          <w:p w:rsidR="003264AD" w:rsidRPr="0027780B" w:rsidRDefault="003264AD" w:rsidP="00CA62BB">
            <w:pPr>
              <w:jc w:val="both"/>
              <w:rPr>
                <w:rFonts w:ascii="Calibri" w:hAnsi="Calibri"/>
                <w:sz w:val="22"/>
                <w:szCs w:val="22"/>
              </w:rPr>
            </w:pPr>
            <w:r w:rsidRPr="0027780B">
              <w:rPr>
                <w:rFonts w:ascii="Calibri" w:hAnsi="Calibri"/>
                <w:sz w:val="22"/>
                <w:szCs w:val="22"/>
              </w:rPr>
              <w:t xml:space="preserve">Najviši iznos potpore koji se može dodijeliti je </w:t>
            </w:r>
            <w:r w:rsidRPr="0027780B">
              <w:rPr>
                <w:rFonts w:ascii="Calibri" w:hAnsi="Calibri"/>
                <w:b/>
                <w:bCs/>
                <w:sz w:val="22"/>
                <w:szCs w:val="22"/>
              </w:rPr>
              <w:t>200.000</w:t>
            </w:r>
            <w:r w:rsidRPr="0027780B">
              <w:rPr>
                <w:rFonts w:ascii="Calibri" w:hAnsi="Calibri"/>
                <w:sz w:val="22"/>
                <w:szCs w:val="22"/>
              </w:rPr>
              <w:t xml:space="preserve"> kuna</w:t>
            </w:r>
          </w:p>
        </w:tc>
      </w:tr>
      <w:tr w:rsidR="003264AD" w:rsidRPr="0027780B" w:rsidTr="00CA62BB">
        <w:tc>
          <w:tcPr>
            <w:tcW w:w="0" w:type="auto"/>
            <w:gridSpan w:val="2"/>
            <w:vAlign w:val="center"/>
          </w:tcPr>
          <w:p w:rsidR="003264AD" w:rsidRPr="0027780B" w:rsidRDefault="003264AD" w:rsidP="00CA62BB">
            <w:pPr>
              <w:rPr>
                <w:rFonts w:ascii="Calibri" w:hAnsi="Calibri"/>
                <w:b/>
                <w:bCs/>
                <w:sz w:val="22"/>
                <w:szCs w:val="22"/>
              </w:rPr>
            </w:pPr>
          </w:p>
          <w:p w:rsidR="003264AD" w:rsidRPr="0027780B" w:rsidRDefault="003264AD" w:rsidP="00CA62BB">
            <w:pPr>
              <w:rPr>
                <w:rFonts w:ascii="Calibri" w:hAnsi="Calibri"/>
                <w:b/>
                <w:bCs/>
                <w:sz w:val="22"/>
                <w:szCs w:val="22"/>
              </w:rPr>
            </w:pPr>
          </w:p>
        </w:tc>
      </w:tr>
      <w:tr w:rsidR="003264AD" w:rsidRPr="0027780B" w:rsidTr="00CA62BB">
        <w:tc>
          <w:tcPr>
            <w:tcW w:w="0" w:type="auto"/>
            <w:gridSpan w:val="2"/>
            <w:vAlign w:val="center"/>
          </w:tcPr>
          <w:p w:rsidR="003264AD" w:rsidRPr="0027780B" w:rsidRDefault="003264AD" w:rsidP="00CA62BB">
            <w:pPr>
              <w:rPr>
                <w:rFonts w:ascii="Calibri" w:hAnsi="Calibri"/>
                <w:b/>
                <w:bCs/>
                <w:sz w:val="22"/>
                <w:szCs w:val="22"/>
              </w:rPr>
            </w:pPr>
          </w:p>
          <w:p w:rsidR="003264AD" w:rsidRPr="0027780B" w:rsidRDefault="003264AD" w:rsidP="00CA62BB">
            <w:pPr>
              <w:jc w:val="center"/>
              <w:rPr>
                <w:rFonts w:ascii="Calibri" w:hAnsi="Calibri"/>
                <w:b/>
                <w:bCs/>
                <w:sz w:val="22"/>
                <w:szCs w:val="22"/>
              </w:rPr>
            </w:pPr>
            <w:r w:rsidRPr="0027780B">
              <w:rPr>
                <w:rFonts w:ascii="Calibri" w:hAnsi="Calibri"/>
                <w:b/>
                <w:bCs/>
                <w:sz w:val="22"/>
                <w:szCs w:val="22"/>
              </w:rPr>
              <w:t>A4 - OBJEKTI U DOMAĆINSTVU (soba, apartman, studio apartman, kuća za odmor, kamp u domaćinstvu)</w:t>
            </w:r>
          </w:p>
          <w:p w:rsidR="003264AD" w:rsidRPr="0027780B" w:rsidRDefault="003264AD" w:rsidP="00CA62BB">
            <w:pPr>
              <w:ind w:left="752"/>
              <w:jc w:val="center"/>
              <w:rPr>
                <w:rFonts w:ascii="Calibri" w:hAnsi="Calibri"/>
                <w:b/>
                <w:bCs/>
                <w:color w:val="000000"/>
                <w:sz w:val="22"/>
                <w:szCs w:val="22"/>
              </w:rPr>
            </w:pPr>
          </w:p>
        </w:tc>
      </w:tr>
      <w:tr w:rsidR="003264AD" w:rsidRPr="0027780B" w:rsidTr="00CA62BB">
        <w:tc>
          <w:tcPr>
            <w:tcW w:w="0" w:type="auto"/>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PRIHVATLJIVE PROJEKTNE AKTIVNOSTI</w:t>
            </w:r>
          </w:p>
        </w:tc>
        <w:tc>
          <w:tcPr>
            <w:tcW w:w="0" w:type="auto"/>
            <w:vAlign w:val="center"/>
          </w:tcPr>
          <w:p w:rsidR="003264AD" w:rsidRPr="0027780B" w:rsidRDefault="003264AD" w:rsidP="00CA62BB">
            <w:pPr>
              <w:pStyle w:val="ListParagraph"/>
              <w:numPr>
                <w:ilvl w:val="0"/>
                <w:numId w:val="9"/>
              </w:numPr>
              <w:jc w:val="both"/>
            </w:pPr>
            <w:r w:rsidRPr="0027780B">
              <w:t>izgradnja i opremanje isključivo novih bazena, minimalne vodene tlocrtne površine 30 m</w:t>
            </w:r>
            <w:r w:rsidRPr="0027780B">
              <w:rPr>
                <w:vertAlign w:val="superscript"/>
              </w:rPr>
              <w:t>2</w:t>
            </w:r>
            <w:r w:rsidRPr="0027780B">
              <w:t xml:space="preserve"> za vanjske bazene i minimalne vodene tlocrtne površine 20 m</w:t>
            </w:r>
            <w:r w:rsidRPr="0027780B">
              <w:rPr>
                <w:vertAlign w:val="superscript"/>
              </w:rPr>
              <w:t>2</w:t>
            </w:r>
            <w:r w:rsidRPr="0027780B">
              <w:t xml:space="preserve"> za unutarnje bazene (unutar čvrstih objekata), uz uvjet da uz planirani bazen podnositelj zahtjeva mora imati registrirane minimalno 3 sobe (odnosno 6 stalnih kreveta) ili 4 smještajne jedinice (odnosno 12 gostiju) u kampu. Podnositelj zahtjeva mora imati registraciju „Objekta u domaćinstvu“ do dana podnošenja prijave,  kategorije 3 ili  više zvjezdica, te podmirene sve obveze  (boravišnu pristojbu i turističku članarinu).</w:t>
            </w:r>
          </w:p>
          <w:p w:rsidR="003264AD" w:rsidRPr="0027780B" w:rsidRDefault="003264AD" w:rsidP="00CA62BB">
            <w:pPr>
              <w:pStyle w:val="ListParagraph"/>
              <w:ind w:left="360"/>
              <w:jc w:val="both"/>
            </w:pPr>
          </w:p>
        </w:tc>
      </w:tr>
      <w:tr w:rsidR="003264AD" w:rsidRPr="0027780B" w:rsidTr="00CA62BB">
        <w:trPr>
          <w:trHeight w:val="639"/>
        </w:trPr>
        <w:tc>
          <w:tcPr>
            <w:tcW w:w="0" w:type="auto"/>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SUBJEKTI KOJI MOGU PODNIJETI ZAHTJEV</w:t>
            </w:r>
          </w:p>
        </w:tc>
        <w:tc>
          <w:tcPr>
            <w:tcW w:w="0" w:type="auto"/>
            <w:vAlign w:val="center"/>
          </w:tcPr>
          <w:p w:rsidR="003264AD" w:rsidRPr="0027780B" w:rsidRDefault="003264AD" w:rsidP="00CA62BB">
            <w:pPr>
              <w:rPr>
                <w:rFonts w:ascii="Calibri" w:hAnsi="Calibri"/>
                <w:sz w:val="22"/>
                <w:szCs w:val="22"/>
              </w:rPr>
            </w:pPr>
            <w:r w:rsidRPr="0027780B">
              <w:rPr>
                <w:rFonts w:ascii="Calibri" w:hAnsi="Calibri"/>
                <w:sz w:val="22"/>
                <w:szCs w:val="22"/>
              </w:rPr>
              <w:t>Fizičke osobe – privatni iznajmljivači</w:t>
            </w:r>
          </w:p>
        </w:tc>
      </w:tr>
      <w:tr w:rsidR="003264AD" w:rsidRPr="0027780B" w:rsidTr="00CA62BB">
        <w:trPr>
          <w:trHeight w:val="639"/>
        </w:trPr>
        <w:tc>
          <w:tcPr>
            <w:tcW w:w="0" w:type="auto"/>
            <w:vAlign w:val="center"/>
          </w:tcPr>
          <w:p w:rsidR="003264AD" w:rsidRPr="0027780B" w:rsidRDefault="003264AD" w:rsidP="00CA62BB">
            <w:pPr>
              <w:rPr>
                <w:rFonts w:ascii="Calibri" w:hAnsi="Calibri"/>
                <w:b/>
                <w:bCs/>
                <w:color w:val="FFFFFF"/>
                <w:sz w:val="22"/>
                <w:szCs w:val="22"/>
              </w:rPr>
            </w:pPr>
            <w:r w:rsidRPr="0027780B">
              <w:rPr>
                <w:rFonts w:ascii="Calibri" w:hAnsi="Calibri"/>
                <w:b/>
                <w:bCs/>
                <w:sz w:val="22"/>
                <w:szCs w:val="22"/>
              </w:rPr>
              <w:t>IZNOS POTPORE</w:t>
            </w:r>
          </w:p>
        </w:tc>
        <w:tc>
          <w:tcPr>
            <w:tcW w:w="0" w:type="auto"/>
            <w:vAlign w:val="center"/>
          </w:tcPr>
          <w:p w:rsidR="003264AD" w:rsidRPr="0027780B" w:rsidRDefault="003264AD" w:rsidP="00CA62BB">
            <w:pPr>
              <w:rPr>
                <w:rFonts w:ascii="Calibri" w:hAnsi="Calibri"/>
                <w:sz w:val="22"/>
                <w:szCs w:val="22"/>
              </w:rPr>
            </w:pPr>
            <w:r w:rsidRPr="0027780B">
              <w:rPr>
                <w:rFonts w:ascii="Calibri" w:hAnsi="Calibri"/>
                <w:sz w:val="22"/>
                <w:szCs w:val="22"/>
              </w:rPr>
              <w:t xml:space="preserve">Najviši iznos potpore koji se može dodijeliti je </w:t>
            </w:r>
            <w:r w:rsidRPr="0027780B">
              <w:rPr>
                <w:rFonts w:ascii="Calibri" w:hAnsi="Calibri"/>
                <w:b/>
                <w:bCs/>
                <w:sz w:val="22"/>
                <w:szCs w:val="22"/>
              </w:rPr>
              <w:t>40.000</w:t>
            </w:r>
            <w:r w:rsidRPr="0027780B">
              <w:rPr>
                <w:rFonts w:ascii="Calibri" w:hAnsi="Calibri"/>
                <w:sz w:val="22"/>
                <w:szCs w:val="22"/>
              </w:rPr>
              <w:t xml:space="preserve"> kuna </w:t>
            </w:r>
          </w:p>
        </w:tc>
      </w:tr>
      <w:tr w:rsidR="00F22A6D" w:rsidRPr="0027780B" w:rsidTr="008E2201">
        <w:trPr>
          <w:trHeight w:val="639"/>
        </w:trPr>
        <w:tc>
          <w:tcPr>
            <w:tcW w:w="0" w:type="auto"/>
            <w:gridSpan w:val="2"/>
            <w:vAlign w:val="center"/>
          </w:tcPr>
          <w:p w:rsidR="00F22A6D" w:rsidRPr="0027780B" w:rsidRDefault="00F22A6D" w:rsidP="00CA62BB">
            <w:pPr>
              <w:rPr>
                <w:rFonts w:ascii="Calibri" w:hAnsi="Calibri"/>
                <w:sz w:val="22"/>
                <w:szCs w:val="22"/>
              </w:rPr>
            </w:pPr>
          </w:p>
        </w:tc>
      </w:tr>
      <w:tr w:rsidR="003264AD" w:rsidRPr="0027780B" w:rsidTr="00CA62BB">
        <w:tc>
          <w:tcPr>
            <w:tcW w:w="0" w:type="auto"/>
            <w:gridSpan w:val="2"/>
            <w:vAlign w:val="center"/>
          </w:tcPr>
          <w:p w:rsidR="003264AD" w:rsidRPr="0027780B" w:rsidRDefault="003264AD" w:rsidP="00CA62BB">
            <w:pPr>
              <w:jc w:val="center"/>
              <w:rPr>
                <w:rFonts w:ascii="Calibri" w:hAnsi="Calibri"/>
                <w:b/>
                <w:bCs/>
                <w:sz w:val="22"/>
                <w:szCs w:val="22"/>
              </w:rPr>
            </w:pPr>
          </w:p>
          <w:p w:rsidR="003264AD" w:rsidRPr="0027780B" w:rsidRDefault="003264AD" w:rsidP="00CA62BB">
            <w:pPr>
              <w:jc w:val="center"/>
              <w:rPr>
                <w:rFonts w:ascii="Calibri" w:hAnsi="Calibri"/>
                <w:b/>
                <w:bCs/>
                <w:sz w:val="22"/>
                <w:szCs w:val="22"/>
              </w:rPr>
            </w:pPr>
            <w:r w:rsidRPr="0027780B">
              <w:rPr>
                <w:rFonts w:ascii="Calibri" w:hAnsi="Calibri"/>
                <w:b/>
                <w:bCs/>
                <w:sz w:val="22"/>
                <w:szCs w:val="22"/>
              </w:rPr>
              <w:t xml:space="preserve">MJERA B - RAZVOJ POSEBNIH OBLIKA TURIZMA </w:t>
            </w:r>
          </w:p>
          <w:p w:rsidR="003264AD" w:rsidRPr="0027780B" w:rsidRDefault="003264AD" w:rsidP="00CA62BB">
            <w:pPr>
              <w:jc w:val="center"/>
              <w:rPr>
                <w:rFonts w:ascii="Calibri" w:hAnsi="Calibri"/>
                <w:b/>
                <w:bCs/>
                <w:sz w:val="22"/>
                <w:szCs w:val="22"/>
              </w:rPr>
            </w:pPr>
            <w:r w:rsidRPr="0027780B">
              <w:rPr>
                <w:rFonts w:ascii="Calibri" w:hAnsi="Calibri"/>
                <w:b/>
                <w:bCs/>
                <w:sz w:val="22"/>
                <w:szCs w:val="22"/>
              </w:rPr>
              <w:t>(Subjekti registrirani za pružanje usluga u turizmu i ugostiteljstvu)</w:t>
            </w:r>
          </w:p>
          <w:p w:rsidR="003264AD" w:rsidRPr="0027780B" w:rsidRDefault="003264AD" w:rsidP="00CA62BB">
            <w:pPr>
              <w:jc w:val="center"/>
              <w:rPr>
                <w:rFonts w:ascii="Calibri" w:hAnsi="Calibri"/>
                <w:b/>
                <w:bCs/>
                <w:sz w:val="22"/>
                <w:szCs w:val="22"/>
              </w:rPr>
            </w:pPr>
          </w:p>
        </w:tc>
      </w:tr>
      <w:tr w:rsidR="003264AD" w:rsidRPr="0027780B" w:rsidTr="00CA62BB">
        <w:trPr>
          <w:trHeight w:val="7352"/>
        </w:trPr>
        <w:tc>
          <w:tcPr>
            <w:tcW w:w="0" w:type="auto"/>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lastRenderedPageBreak/>
              <w:t>PRIHVATLJIVE PROJEKTNE AKTIVNOSTI</w:t>
            </w:r>
          </w:p>
        </w:tc>
        <w:tc>
          <w:tcPr>
            <w:tcW w:w="0" w:type="auto"/>
          </w:tcPr>
          <w:p w:rsidR="003264AD" w:rsidRPr="0027780B" w:rsidRDefault="003264AD" w:rsidP="00CA62BB">
            <w:pPr>
              <w:pStyle w:val="ListParagraph"/>
              <w:numPr>
                <w:ilvl w:val="0"/>
                <w:numId w:val="10"/>
              </w:numPr>
              <w:spacing w:before="100" w:beforeAutospacing="1" w:after="100" w:afterAutospacing="1" w:line="225" w:lineRule="atLeast"/>
              <w:jc w:val="both"/>
            </w:pPr>
            <w:r w:rsidRPr="0027780B">
              <w:t>ruralni i planinski turizam (aktiviranje planinarskih domova, prenamjena napuštenih škola, građevina pučke arhitekture, gospodarskih, vojnih i drugih neiskorištenih objekata u ugostiteljsko-turističke objekte ruralnog ili planinskog turizma)</w:t>
            </w:r>
          </w:p>
          <w:p w:rsidR="003264AD" w:rsidRPr="0027780B" w:rsidRDefault="003264AD" w:rsidP="00CA62BB">
            <w:pPr>
              <w:pStyle w:val="ListParagraph"/>
              <w:numPr>
                <w:ilvl w:val="0"/>
                <w:numId w:val="10"/>
              </w:numPr>
              <w:spacing w:before="100" w:beforeAutospacing="1" w:after="100" w:afterAutospacing="1" w:line="225" w:lineRule="atLeast"/>
              <w:jc w:val="both"/>
            </w:pPr>
            <w:r w:rsidRPr="0027780B">
              <w:t xml:space="preserve">obnova ili rekonstrukcija građevina industrijske i druge kulturne baštine za potrebe posebnih oblika turizma (kulturnog, zdravstvenog, kongresnog, sportsko-rekreativnog ili dr. posebnih oblika turizma) </w:t>
            </w:r>
          </w:p>
          <w:p w:rsidR="003264AD" w:rsidRPr="0027780B" w:rsidRDefault="003264AD" w:rsidP="00CA62BB">
            <w:pPr>
              <w:pStyle w:val="ListParagraph"/>
              <w:numPr>
                <w:ilvl w:val="0"/>
                <w:numId w:val="10"/>
              </w:numPr>
              <w:spacing w:before="100" w:beforeAutospacing="1" w:after="100" w:afterAutospacing="1" w:line="225" w:lineRule="atLeast"/>
              <w:jc w:val="both"/>
            </w:pPr>
            <w:proofErr w:type="spellStart"/>
            <w:r w:rsidRPr="0027780B">
              <w:t>cikloturizam</w:t>
            </w:r>
            <w:proofErr w:type="spellEnd"/>
            <w:r w:rsidRPr="0027780B">
              <w:t xml:space="preserve"> (odmorišta, servisi, </w:t>
            </w:r>
            <w:proofErr w:type="spellStart"/>
            <w:r w:rsidRPr="0027780B">
              <w:t>bike</w:t>
            </w:r>
            <w:proofErr w:type="spellEnd"/>
            <w:r w:rsidRPr="0027780B">
              <w:t>&amp;bed smještaj i sl.)</w:t>
            </w:r>
          </w:p>
          <w:p w:rsidR="003264AD" w:rsidRPr="0027780B" w:rsidRDefault="003264AD" w:rsidP="00CA62BB">
            <w:pPr>
              <w:pStyle w:val="ListParagraph"/>
              <w:numPr>
                <w:ilvl w:val="0"/>
                <w:numId w:val="10"/>
              </w:numPr>
              <w:spacing w:before="100" w:beforeAutospacing="1" w:after="100" w:afterAutospacing="1" w:line="225" w:lineRule="atLeast"/>
              <w:jc w:val="both"/>
            </w:pPr>
            <w:r w:rsidRPr="0027780B">
              <w:t>pustolovni i sportsko-rekreativni turizam (potrebna infrastruktura i oprema za špilje, rafting, stijene za penjanje, vidikovci, osmatračnice, adrenalinski parkovi, golf vježbališta, igrališta, infrastruktura za zimsko-planinski turizam, objekti za robinzonski smještaj ...)</w:t>
            </w:r>
          </w:p>
          <w:p w:rsidR="003264AD" w:rsidRPr="0027780B" w:rsidRDefault="003264AD" w:rsidP="00CA62BB">
            <w:pPr>
              <w:pStyle w:val="ListParagraph"/>
              <w:numPr>
                <w:ilvl w:val="0"/>
                <w:numId w:val="10"/>
              </w:numPr>
              <w:spacing w:before="100" w:beforeAutospacing="1" w:after="100" w:afterAutospacing="1" w:line="225" w:lineRule="atLeast"/>
              <w:jc w:val="both"/>
            </w:pPr>
            <w:r w:rsidRPr="0027780B">
              <w:t>zabavni i tematski parkovi</w:t>
            </w:r>
          </w:p>
          <w:p w:rsidR="003264AD" w:rsidRPr="0027780B" w:rsidRDefault="003264AD" w:rsidP="00CA62BB">
            <w:pPr>
              <w:pStyle w:val="ListParagraph"/>
              <w:numPr>
                <w:ilvl w:val="0"/>
                <w:numId w:val="10"/>
              </w:numPr>
              <w:spacing w:before="100" w:beforeAutospacing="1" w:after="100" w:afterAutospacing="1" w:line="225" w:lineRule="atLeast"/>
              <w:jc w:val="both"/>
            </w:pPr>
            <w:r w:rsidRPr="0027780B">
              <w:t>„mali ploveći hoteli“ - dovršetak izgradnje novih, obnova ili  rekonstrukcija postojećih manjih turističkih brodova za krstarenje s elementima tradicijske gradnje (Pravilnik o vrstama i kategorijama plovnih objekata nautičkog turizma, Vrsta: Plovni objekti za krstarenje - NN 69/08, 83/09)</w:t>
            </w:r>
          </w:p>
          <w:p w:rsidR="003264AD" w:rsidRPr="0027780B" w:rsidRDefault="003264AD" w:rsidP="00CA62BB">
            <w:pPr>
              <w:numPr>
                <w:ilvl w:val="0"/>
                <w:numId w:val="10"/>
              </w:numPr>
              <w:jc w:val="both"/>
              <w:rPr>
                <w:rFonts w:ascii="Calibri" w:eastAsia="Calibri" w:hAnsi="Calibri" w:cs="Calibri"/>
                <w:sz w:val="22"/>
                <w:szCs w:val="22"/>
                <w:lang w:eastAsia="en-US"/>
              </w:rPr>
            </w:pPr>
            <w:r w:rsidRPr="0027780B">
              <w:rPr>
                <w:rFonts w:ascii="Calibri" w:eastAsia="Calibri" w:hAnsi="Calibri" w:cs="Calibri"/>
                <w:sz w:val="22"/>
                <w:szCs w:val="22"/>
                <w:lang w:eastAsia="en-US"/>
              </w:rPr>
              <w:t>obnova i uređenje izletničkih drvenih brodova tradicijske gradnje (Pravilnik o vrstama i kategorijama plovnih objekata nautičkog turizma, Vrsta: Plovni objekti za izlete - NN 69/08, 83/09)</w:t>
            </w:r>
          </w:p>
          <w:p w:rsidR="003264AD" w:rsidRPr="0027780B" w:rsidRDefault="003264AD" w:rsidP="0027780B">
            <w:pPr>
              <w:pStyle w:val="ListParagraph"/>
              <w:numPr>
                <w:ilvl w:val="0"/>
                <w:numId w:val="10"/>
              </w:numPr>
              <w:spacing w:before="100" w:beforeAutospacing="1" w:after="100" w:afterAutospacing="1" w:line="225" w:lineRule="atLeast"/>
              <w:jc w:val="both"/>
            </w:pPr>
            <w:r w:rsidRPr="0027780B">
              <w:t xml:space="preserve">kreiranje i provedba paket aranžmana novih turističkih proizvoda za tržište posebnih interesa (aktivni i kreativni turizam, turizam hrane i vina, arheološki, botanički, </w:t>
            </w:r>
            <w:proofErr w:type="spellStart"/>
            <w:r w:rsidRPr="0027780B">
              <w:t>geoturizam</w:t>
            </w:r>
            <w:proofErr w:type="spellEnd"/>
            <w:r w:rsidRPr="0027780B">
              <w:t>, promatranje ptica  i drugi posebni oblici turizma), vezanih za predsezonu i posezonu jadranske Hrvatske, te cjelogodišnju ponudu kontinentalne Hrvatske. Uz program je obvezno dostaviti dokaz o realizaciji sličnih projekata u posljednje dvije godine-priznaju se ugovori s najmanje tri gospodarska subjekta registrirana za pružanje ugostiteljskih ili turističkih usluga, podaci o broju gostiju, noćenjima, broju izleta i sl.)</w:t>
            </w:r>
          </w:p>
        </w:tc>
      </w:tr>
      <w:tr w:rsidR="003264AD" w:rsidRPr="0027780B" w:rsidTr="00CA62BB">
        <w:trPr>
          <w:trHeight w:val="310"/>
        </w:trPr>
        <w:tc>
          <w:tcPr>
            <w:tcW w:w="0" w:type="auto"/>
            <w:tcBorders>
              <w:bottom w:val="single" w:sz="4" w:space="0" w:color="3366FF"/>
            </w:tcBorders>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SUBJEKTI KOJI MOGU PODNIJETI ZAHTJEV</w:t>
            </w:r>
          </w:p>
        </w:tc>
        <w:tc>
          <w:tcPr>
            <w:tcW w:w="0" w:type="auto"/>
            <w:tcBorders>
              <w:bottom w:val="single" w:sz="4" w:space="0" w:color="3366FF"/>
            </w:tcBorders>
            <w:vAlign w:val="center"/>
          </w:tcPr>
          <w:p w:rsidR="003264AD" w:rsidRPr="0027780B" w:rsidRDefault="003264AD" w:rsidP="00CA62BB">
            <w:pPr>
              <w:jc w:val="both"/>
              <w:rPr>
                <w:rFonts w:ascii="Calibri" w:hAnsi="Calibri"/>
                <w:sz w:val="22"/>
                <w:szCs w:val="22"/>
              </w:rPr>
            </w:pPr>
            <w:r w:rsidRPr="0027780B">
              <w:rPr>
                <w:rFonts w:ascii="Calibri" w:hAnsi="Calibri"/>
                <w:sz w:val="22"/>
                <w:szCs w:val="22"/>
              </w:rPr>
              <w:t>Trgovačka društva izvan javnog sektora, obrti i zadruge</w:t>
            </w:r>
          </w:p>
        </w:tc>
      </w:tr>
      <w:tr w:rsidR="003264AD" w:rsidRPr="0027780B" w:rsidTr="009455F9">
        <w:trPr>
          <w:trHeight w:val="748"/>
        </w:trPr>
        <w:tc>
          <w:tcPr>
            <w:tcW w:w="0" w:type="auto"/>
            <w:tcBorders>
              <w:bottom w:val="single" w:sz="4" w:space="0" w:color="3366FF"/>
            </w:tcBorders>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 xml:space="preserve">IZNOS POTPORE </w:t>
            </w:r>
          </w:p>
        </w:tc>
        <w:tc>
          <w:tcPr>
            <w:tcW w:w="0" w:type="auto"/>
            <w:tcBorders>
              <w:bottom w:val="single" w:sz="4" w:space="0" w:color="3366FF"/>
            </w:tcBorders>
            <w:vAlign w:val="center"/>
          </w:tcPr>
          <w:p w:rsidR="003264AD" w:rsidRPr="0027780B" w:rsidRDefault="003264AD" w:rsidP="00CA62BB">
            <w:pPr>
              <w:jc w:val="both"/>
              <w:rPr>
                <w:rFonts w:ascii="Calibri" w:hAnsi="Calibri"/>
                <w:sz w:val="22"/>
                <w:szCs w:val="22"/>
              </w:rPr>
            </w:pPr>
            <w:r w:rsidRPr="0027780B">
              <w:rPr>
                <w:rFonts w:ascii="Calibri" w:hAnsi="Calibri"/>
                <w:sz w:val="22"/>
                <w:szCs w:val="22"/>
              </w:rPr>
              <w:t xml:space="preserve">Najniži iznos potpore koji se može dodijeliti je </w:t>
            </w:r>
            <w:r w:rsidRPr="0027780B">
              <w:rPr>
                <w:rFonts w:ascii="Calibri" w:hAnsi="Calibri"/>
                <w:b/>
                <w:bCs/>
                <w:sz w:val="22"/>
                <w:szCs w:val="22"/>
              </w:rPr>
              <w:t>30.000</w:t>
            </w:r>
            <w:r w:rsidRPr="0027780B">
              <w:rPr>
                <w:rFonts w:ascii="Calibri" w:hAnsi="Calibri"/>
                <w:sz w:val="22"/>
                <w:szCs w:val="22"/>
              </w:rPr>
              <w:t xml:space="preserve"> kuna</w:t>
            </w:r>
          </w:p>
          <w:p w:rsidR="003264AD" w:rsidRPr="0027780B" w:rsidRDefault="003264AD" w:rsidP="00CA62BB">
            <w:pPr>
              <w:jc w:val="both"/>
              <w:rPr>
                <w:rFonts w:ascii="Calibri" w:hAnsi="Calibri"/>
                <w:b/>
                <w:bCs/>
                <w:sz w:val="22"/>
                <w:szCs w:val="22"/>
              </w:rPr>
            </w:pPr>
            <w:r w:rsidRPr="0027780B">
              <w:rPr>
                <w:rFonts w:ascii="Calibri" w:hAnsi="Calibri"/>
                <w:sz w:val="22"/>
                <w:szCs w:val="22"/>
              </w:rPr>
              <w:t xml:space="preserve">Najviši iznos potpore koji se može dodijeliti je </w:t>
            </w:r>
            <w:r w:rsidRPr="0027780B">
              <w:rPr>
                <w:rFonts w:ascii="Calibri" w:hAnsi="Calibri"/>
                <w:b/>
                <w:bCs/>
                <w:sz w:val="22"/>
                <w:szCs w:val="22"/>
              </w:rPr>
              <w:t>300.000</w:t>
            </w:r>
            <w:r w:rsidRPr="0027780B">
              <w:rPr>
                <w:rFonts w:ascii="Calibri" w:hAnsi="Calibri"/>
                <w:sz w:val="22"/>
                <w:szCs w:val="22"/>
              </w:rPr>
              <w:t xml:space="preserve"> kuna</w:t>
            </w:r>
          </w:p>
        </w:tc>
      </w:tr>
      <w:tr w:rsidR="009455F9" w:rsidRPr="0027780B" w:rsidTr="008E2201">
        <w:trPr>
          <w:trHeight w:val="310"/>
        </w:trPr>
        <w:tc>
          <w:tcPr>
            <w:tcW w:w="0" w:type="auto"/>
            <w:gridSpan w:val="2"/>
            <w:tcBorders>
              <w:bottom w:val="single" w:sz="4" w:space="0" w:color="3366FF"/>
            </w:tcBorders>
            <w:vAlign w:val="center"/>
          </w:tcPr>
          <w:p w:rsidR="009455F9" w:rsidRPr="0027780B" w:rsidRDefault="009455F9" w:rsidP="00CA62BB">
            <w:pPr>
              <w:jc w:val="both"/>
              <w:rPr>
                <w:rFonts w:ascii="Calibri" w:hAnsi="Calibri"/>
                <w:sz w:val="22"/>
                <w:szCs w:val="22"/>
              </w:rPr>
            </w:pPr>
          </w:p>
        </w:tc>
      </w:tr>
      <w:tr w:rsidR="003264AD" w:rsidRPr="0027780B" w:rsidTr="00CA62BB">
        <w:trPr>
          <w:trHeight w:val="756"/>
        </w:trPr>
        <w:tc>
          <w:tcPr>
            <w:tcW w:w="0" w:type="auto"/>
            <w:gridSpan w:val="2"/>
            <w:tcBorders>
              <w:top w:val="single" w:sz="4" w:space="0" w:color="3366FF"/>
            </w:tcBorders>
          </w:tcPr>
          <w:p w:rsidR="003264AD" w:rsidRPr="0027780B" w:rsidRDefault="003264AD" w:rsidP="00CA62BB">
            <w:pPr>
              <w:jc w:val="center"/>
              <w:rPr>
                <w:rFonts w:ascii="Calibri" w:hAnsi="Calibri"/>
                <w:bCs/>
                <w:color w:val="FF0000"/>
                <w:sz w:val="22"/>
                <w:szCs w:val="22"/>
              </w:rPr>
            </w:pPr>
          </w:p>
          <w:p w:rsidR="003264AD" w:rsidRPr="0027780B" w:rsidRDefault="009455F9" w:rsidP="00CA62BB">
            <w:pPr>
              <w:jc w:val="center"/>
              <w:rPr>
                <w:rFonts w:ascii="Calibri" w:hAnsi="Calibri"/>
                <w:bCs/>
                <w:color w:val="FF0000"/>
                <w:sz w:val="22"/>
                <w:szCs w:val="22"/>
              </w:rPr>
            </w:pPr>
            <w:r w:rsidRPr="0027780B">
              <w:rPr>
                <w:rFonts w:ascii="Calibri" w:hAnsi="Calibri"/>
                <w:b/>
                <w:bCs/>
                <w:sz w:val="22"/>
                <w:szCs w:val="22"/>
              </w:rPr>
              <w:t>MJERA C - INTERNACIONALIZACIJA I MEĐUNARODNA PREPOZNATLJIVOST</w:t>
            </w:r>
          </w:p>
          <w:p w:rsidR="003264AD" w:rsidRPr="0027780B" w:rsidRDefault="003264AD" w:rsidP="00CA62BB">
            <w:pPr>
              <w:jc w:val="center"/>
              <w:rPr>
                <w:rFonts w:ascii="Calibri" w:hAnsi="Calibri"/>
                <w:bCs/>
                <w:color w:val="FF0000"/>
                <w:sz w:val="22"/>
                <w:szCs w:val="22"/>
              </w:rPr>
            </w:pPr>
          </w:p>
        </w:tc>
      </w:tr>
      <w:tr w:rsidR="003264AD" w:rsidRPr="0027780B" w:rsidTr="00CA62BB">
        <w:tc>
          <w:tcPr>
            <w:tcW w:w="0" w:type="auto"/>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PRIHVATLJIVE PROJEKTNE AKTIVNOSTI</w:t>
            </w:r>
          </w:p>
        </w:tc>
        <w:tc>
          <w:tcPr>
            <w:tcW w:w="0" w:type="auto"/>
          </w:tcPr>
          <w:p w:rsidR="003264AD" w:rsidRPr="0027780B" w:rsidRDefault="003264AD" w:rsidP="003264AD">
            <w:pPr>
              <w:numPr>
                <w:ilvl w:val="0"/>
                <w:numId w:val="11"/>
              </w:numPr>
              <w:jc w:val="both"/>
              <w:rPr>
                <w:rFonts w:ascii="Calibri" w:hAnsi="Calibri"/>
                <w:sz w:val="22"/>
                <w:szCs w:val="22"/>
              </w:rPr>
            </w:pPr>
            <w:r w:rsidRPr="0027780B">
              <w:rPr>
                <w:rFonts w:ascii="Calibri" w:hAnsi="Calibri"/>
                <w:sz w:val="22"/>
                <w:szCs w:val="22"/>
              </w:rPr>
              <w:t>Članarine u prestižnim renomiranim međunarodnim asocijacijama smještajnih ugostiteljskih objekata za prve 3 godine članstva</w:t>
            </w:r>
          </w:p>
          <w:p w:rsidR="003264AD" w:rsidRPr="0027780B" w:rsidRDefault="003264AD" w:rsidP="003264AD">
            <w:pPr>
              <w:numPr>
                <w:ilvl w:val="0"/>
                <w:numId w:val="11"/>
              </w:numPr>
              <w:jc w:val="both"/>
              <w:rPr>
                <w:rFonts w:ascii="Calibri" w:hAnsi="Calibri"/>
                <w:sz w:val="22"/>
                <w:szCs w:val="22"/>
              </w:rPr>
            </w:pPr>
            <w:r w:rsidRPr="0027780B">
              <w:rPr>
                <w:rFonts w:ascii="Calibri" w:hAnsi="Calibri"/>
                <w:sz w:val="22"/>
                <w:szCs w:val="22"/>
              </w:rPr>
              <w:t xml:space="preserve">Sufinanciranje međunarodnih skupova/foruma u RH vezanih za investicije u turizmu, uz uvjet sudjelovanja minimalno 200 gospodarskih subjekata  </w:t>
            </w:r>
          </w:p>
        </w:tc>
      </w:tr>
      <w:tr w:rsidR="003264AD" w:rsidRPr="0027780B" w:rsidTr="00CA62BB">
        <w:trPr>
          <w:trHeight w:val="649"/>
        </w:trPr>
        <w:tc>
          <w:tcPr>
            <w:tcW w:w="0" w:type="auto"/>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SUBJEKTI KOJI MOGU PODNIJETI ZAHTJEV</w:t>
            </w:r>
          </w:p>
        </w:tc>
        <w:tc>
          <w:tcPr>
            <w:tcW w:w="0" w:type="auto"/>
            <w:vAlign w:val="center"/>
          </w:tcPr>
          <w:p w:rsidR="003264AD" w:rsidRPr="0027780B" w:rsidRDefault="003264AD" w:rsidP="00CA62BB">
            <w:pPr>
              <w:jc w:val="both"/>
              <w:rPr>
                <w:rFonts w:ascii="Calibri" w:hAnsi="Calibri"/>
                <w:sz w:val="22"/>
                <w:szCs w:val="22"/>
              </w:rPr>
            </w:pPr>
            <w:r w:rsidRPr="0027780B">
              <w:rPr>
                <w:rFonts w:ascii="Calibri" w:hAnsi="Calibri"/>
                <w:sz w:val="22"/>
                <w:szCs w:val="22"/>
              </w:rPr>
              <w:t>Trgovačka društva izvan javnog sektora, obrti i zadruge</w:t>
            </w:r>
          </w:p>
        </w:tc>
      </w:tr>
      <w:tr w:rsidR="003264AD" w:rsidRPr="0027780B" w:rsidTr="00CA62BB">
        <w:trPr>
          <w:trHeight w:val="649"/>
        </w:trPr>
        <w:tc>
          <w:tcPr>
            <w:tcW w:w="0" w:type="auto"/>
            <w:vAlign w:val="center"/>
          </w:tcPr>
          <w:p w:rsidR="003264AD" w:rsidRPr="0027780B" w:rsidRDefault="003264AD" w:rsidP="00CA62BB">
            <w:pPr>
              <w:rPr>
                <w:rFonts w:ascii="Calibri" w:hAnsi="Calibri"/>
                <w:b/>
                <w:bCs/>
                <w:sz w:val="22"/>
                <w:szCs w:val="22"/>
              </w:rPr>
            </w:pPr>
            <w:r w:rsidRPr="0027780B">
              <w:rPr>
                <w:rFonts w:ascii="Calibri" w:hAnsi="Calibri"/>
                <w:b/>
                <w:bCs/>
                <w:sz w:val="22"/>
                <w:szCs w:val="22"/>
              </w:rPr>
              <w:t>INTENZITET I IZNOS POTPORE</w:t>
            </w:r>
          </w:p>
        </w:tc>
        <w:tc>
          <w:tcPr>
            <w:tcW w:w="0" w:type="auto"/>
            <w:vAlign w:val="center"/>
          </w:tcPr>
          <w:p w:rsidR="003264AD" w:rsidRPr="0027780B" w:rsidRDefault="003264AD" w:rsidP="003264AD">
            <w:pPr>
              <w:numPr>
                <w:ilvl w:val="0"/>
                <w:numId w:val="12"/>
              </w:numPr>
              <w:jc w:val="both"/>
              <w:rPr>
                <w:rFonts w:ascii="Calibri" w:hAnsi="Calibri"/>
                <w:sz w:val="22"/>
                <w:szCs w:val="22"/>
              </w:rPr>
            </w:pPr>
            <w:r w:rsidRPr="0027780B">
              <w:rPr>
                <w:rFonts w:ascii="Calibri" w:hAnsi="Calibri"/>
                <w:sz w:val="22"/>
                <w:szCs w:val="22"/>
              </w:rPr>
              <w:t xml:space="preserve">Intenzitet potpore može biti do 100 % za prve tri godine članstva. Najviši iznos potpore koji se može dodijeliti je </w:t>
            </w:r>
            <w:r w:rsidRPr="0027780B">
              <w:rPr>
                <w:rFonts w:ascii="Calibri" w:hAnsi="Calibri"/>
                <w:b/>
                <w:bCs/>
                <w:sz w:val="22"/>
                <w:szCs w:val="22"/>
              </w:rPr>
              <w:t>200.000</w:t>
            </w:r>
            <w:r w:rsidRPr="0027780B">
              <w:rPr>
                <w:rFonts w:ascii="Calibri" w:hAnsi="Calibri"/>
                <w:sz w:val="22"/>
                <w:szCs w:val="22"/>
              </w:rPr>
              <w:t xml:space="preserve"> kuna</w:t>
            </w:r>
          </w:p>
          <w:p w:rsidR="003264AD" w:rsidRPr="0027780B" w:rsidRDefault="003264AD" w:rsidP="003264AD">
            <w:pPr>
              <w:numPr>
                <w:ilvl w:val="0"/>
                <w:numId w:val="12"/>
              </w:numPr>
              <w:jc w:val="both"/>
              <w:rPr>
                <w:rFonts w:ascii="Calibri" w:hAnsi="Calibri"/>
                <w:sz w:val="22"/>
                <w:szCs w:val="22"/>
              </w:rPr>
            </w:pPr>
            <w:r w:rsidRPr="0027780B">
              <w:rPr>
                <w:rFonts w:ascii="Calibri" w:hAnsi="Calibri"/>
                <w:sz w:val="22"/>
                <w:szCs w:val="22"/>
              </w:rPr>
              <w:t xml:space="preserve">Najviši iznos potpore za sufinanciranje međunarodnog skupa/foruma je </w:t>
            </w:r>
            <w:r w:rsidRPr="0027780B">
              <w:rPr>
                <w:rFonts w:ascii="Calibri" w:hAnsi="Calibri"/>
                <w:b/>
                <w:sz w:val="22"/>
                <w:szCs w:val="22"/>
              </w:rPr>
              <w:lastRenderedPageBreak/>
              <w:t xml:space="preserve">100.000 </w:t>
            </w:r>
            <w:r w:rsidRPr="0027780B">
              <w:rPr>
                <w:rFonts w:ascii="Calibri" w:hAnsi="Calibri"/>
                <w:sz w:val="22"/>
                <w:szCs w:val="22"/>
              </w:rPr>
              <w:t>kuna</w:t>
            </w:r>
          </w:p>
          <w:p w:rsidR="003264AD" w:rsidRPr="0027780B" w:rsidRDefault="003264AD" w:rsidP="00CA62BB">
            <w:pPr>
              <w:ind w:left="720"/>
              <w:jc w:val="both"/>
              <w:rPr>
                <w:rFonts w:ascii="Calibri" w:hAnsi="Calibri"/>
                <w:sz w:val="22"/>
                <w:szCs w:val="22"/>
              </w:rPr>
            </w:pPr>
          </w:p>
        </w:tc>
      </w:tr>
    </w:tbl>
    <w:p w:rsidR="003264AD" w:rsidRDefault="003264AD" w:rsidP="003264AD">
      <w:pPr>
        <w:pStyle w:val="ListParagraph"/>
        <w:ind w:left="0"/>
        <w:jc w:val="both"/>
      </w:pPr>
    </w:p>
    <w:p w:rsidR="0027780B" w:rsidRDefault="0027780B"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 xml:space="preserve">NAPOMENA: </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Za projekte koji su vezani za nekretnine, uvjet je da su podnositelji zahtjeva kao potencijalni korisnici potpore vlasnici ili imaju po drugom osnovu pravo dugoročnog (min. 10 god.) raspolaganja ili upravljanja predmetnom nekretninom, područjem ili lokalitetom.</w:t>
      </w:r>
    </w:p>
    <w:p w:rsidR="003264AD" w:rsidRPr="00887F31" w:rsidRDefault="003264AD" w:rsidP="003264AD">
      <w:pPr>
        <w:pStyle w:val="ListParagraph"/>
        <w:ind w:left="0"/>
        <w:jc w:val="both"/>
        <w:rPr>
          <w:sz w:val="24"/>
          <w:szCs w:val="24"/>
        </w:rPr>
      </w:pPr>
      <w:r w:rsidRPr="00887F31">
        <w:rPr>
          <w:sz w:val="24"/>
          <w:szCs w:val="24"/>
        </w:rPr>
        <w:t>Za projekte koji su vezani za izgradnju, obnovu ili rekonstrukciju, korisnik potpore mora imati rješenje nadležnog tijela o uvjetima građenja, ili građevinsku dozvolu ili potvrdu glavnog projekta, sukladno važećim zakonima iz prostornog uređenja i građenja vezano za datum njihovog ishođenja.</w:t>
      </w:r>
    </w:p>
    <w:p w:rsidR="003264AD" w:rsidRPr="00887F31" w:rsidRDefault="003264AD" w:rsidP="003264AD">
      <w:pPr>
        <w:pStyle w:val="ListParagraph"/>
        <w:ind w:left="0"/>
        <w:jc w:val="both"/>
        <w:rPr>
          <w:sz w:val="24"/>
          <w:szCs w:val="24"/>
        </w:rPr>
      </w:pPr>
      <w:r w:rsidRPr="00887F31">
        <w:rPr>
          <w:sz w:val="24"/>
          <w:szCs w:val="24"/>
        </w:rPr>
        <w:t xml:space="preserve">Svi korisnici potpore imaju obvezu bavljenja turizmom najmanje još 5 (pet) godina od završetka projektnih aktivnosti, sukladno potpisanom Ugovoru između davatelja i korisnika potpore. </w:t>
      </w:r>
    </w:p>
    <w:p w:rsidR="003264AD" w:rsidRPr="00887F31" w:rsidRDefault="003264AD" w:rsidP="003264AD">
      <w:pPr>
        <w:pStyle w:val="ListParagraph"/>
        <w:ind w:left="0"/>
        <w:jc w:val="both"/>
        <w:rPr>
          <w:sz w:val="24"/>
          <w:szCs w:val="24"/>
        </w:rPr>
      </w:pPr>
    </w:p>
    <w:p w:rsidR="0027780B" w:rsidRDefault="0027780B"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INTENZITET POTPORE I NAČIN ISPLATE</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Intenzitet potpore je udio sredstava s kojima Ministarstvo sudjeluje u financiranju predloženog projekta i može dosegnuti do najviše 50 % ukupno opravdanih/prihvatljivih troškova Projekta, s izuzetkom potpore za Mjeru C1., kod koje intenzitet potpore može biti do 100 % prihvatljivih troškova (članarine).</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Ministarstvo sredstva za odobrene potpore isplaćuje na žiro račun korisnika u dva dijela:</w:t>
      </w:r>
    </w:p>
    <w:p w:rsidR="003264AD" w:rsidRPr="00887F31" w:rsidRDefault="003264AD" w:rsidP="003264AD">
      <w:pPr>
        <w:pStyle w:val="ListParagraph"/>
        <w:numPr>
          <w:ilvl w:val="0"/>
          <w:numId w:val="3"/>
        </w:numPr>
        <w:jc w:val="both"/>
        <w:rPr>
          <w:sz w:val="24"/>
          <w:szCs w:val="24"/>
        </w:rPr>
      </w:pPr>
      <w:r w:rsidRPr="00887F31">
        <w:rPr>
          <w:sz w:val="24"/>
          <w:szCs w:val="24"/>
        </w:rPr>
        <w:t>60 % iznosa odobrene potpore po zaključenju Ugovora</w:t>
      </w:r>
    </w:p>
    <w:p w:rsidR="003264AD" w:rsidRPr="00887F31" w:rsidRDefault="003264AD" w:rsidP="003264AD">
      <w:pPr>
        <w:pStyle w:val="ListParagraph"/>
        <w:numPr>
          <w:ilvl w:val="0"/>
          <w:numId w:val="3"/>
        </w:numPr>
        <w:jc w:val="both"/>
        <w:rPr>
          <w:sz w:val="24"/>
          <w:szCs w:val="24"/>
        </w:rPr>
      </w:pPr>
      <w:r w:rsidRPr="00887F31">
        <w:rPr>
          <w:sz w:val="24"/>
          <w:szCs w:val="24"/>
        </w:rPr>
        <w:t>ostatak iznosa po dostavljenom i prihvaćenom izvješću s računima o utrošku sredstava za avansno isplaćeni dio, poštujući ugovorene rokove</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Izuzetak od navedenog načina isplate su potpore manje (ili jednake) od 50.000 kuna, te potpore za Mjeru C, kod kojih će se odobrena potpora isplaćivati u 100 % iznosu po zaključenju Ugovora.</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 xml:space="preserve">Za pravdanje cjelokupne investicije priznaju se računi i bankovne transakcije opravdanih/prihvatljivih troškova iz predloženog troškovnika koji su nastali tijekom 2014. i 2015. godine. Izvješća s računima i bankovnim transakcijama treba dostavljati prema ugovorenim rokovima. </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Korisnik potpore dužan je osigurati preostala sredstva za završetak predloženog projekta u roku i s dokazima koji će biti definirani Ugovorom.</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 xml:space="preserve">Bespovratne potpore temeljem ovog Programa smatraju se potporom male vrijednosti i dodjeljuju se sukladno Zakonu o državnim </w:t>
      </w:r>
      <w:r w:rsidRPr="00BE44FC">
        <w:rPr>
          <w:sz w:val="24"/>
          <w:szCs w:val="24"/>
        </w:rPr>
        <w:t xml:space="preserve">potporama </w:t>
      </w:r>
      <w:r w:rsidR="00BE44FC" w:rsidRPr="00BE44FC">
        <w:rPr>
          <w:sz w:val="24"/>
          <w:szCs w:val="24"/>
        </w:rPr>
        <w:t>(NN 47/14)</w:t>
      </w:r>
      <w:r w:rsidRPr="00887F31">
        <w:rPr>
          <w:sz w:val="24"/>
          <w:szCs w:val="24"/>
        </w:rPr>
        <w:t xml:space="preserve"> i Uredbi Komisije (EZ) br. 1857/2006 od 15.</w:t>
      </w:r>
      <w:r>
        <w:rPr>
          <w:sz w:val="24"/>
          <w:szCs w:val="24"/>
        </w:rPr>
        <w:t xml:space="preserve"> </w:t>
      </w:r>
      <w:r w:rsidRPr="00887F31">
        <w:rPr>
          <w:sz w:val="24"/>
          <w:szCs w:val="24"/>
        </w:rPr>
        <w:t xml:space="preserve">prosinca 2006. o primjeni članaka 87. i 88. Ugovora o funkcioniranju Europske unije, što znači da za pravne i fizičke osobe koje, obavljajući gospodarsku djelatnost, sudjeluju u prometu roba i usluga, zbroj ukupnih državnih potpora ne može biti </w:t>
      </w:r>
      <w:r w:rsidRPr="00887F31">
        <w:rPr>
          <w:sz w:val="24"/>
          <w:szCs w:val="24"/>
        </w:rPr>
        <w:lastRenderedPageBreak/>
        <w:t>veći od 200.000 eura u tri uzastopne godine. Relevantno trogodišnje razdoblje se određuje dinamički, tako da se pri svakoj novoj dodjeli potpore utvrđuje ukupan iznos potpore za dotičnu godinu kao i tijekom prethodne dvije fiskalne godine.</w:t>
      </w:r>
    </w:p>
    <w:p w:rsidR="003264AD" w:rsidRDefault="003264AD" w:rsidP="003264AD">
      <w:pPr>
        <w:pStyle w:val="ListParagraph"/>
        <w:ind w:left="0"/>
        <w:jc w:val="both"/>
        <w:rPr>
          <w:sz w:val="24"/>
          <w:szCs w:val="24"/>
        </w:rPr>
      </w:pPr>
    </w:p>
    <w:p w:rsidR="0027780B" w:rsidRDefault="0027780B"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NAČIN PODNOŠENJA ZAHTJEVA</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Ministarstvo turizma objavljuje Javni poziv za kandidiranje projekata za dodjelu bespovratnih sredstava temeljem ovog Programa na internetskoj stranici Ministarstva.</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 xml:space="preserve">Prijave se podnose </w:t>
      </w:r>
      <w:r w:rsidRPr="00887F31">
        <w:rPr>
          <w:b/>
          <w:bCs/>
          <w:sz w:val="24"/>
          <w:szCs w:val="24"/>
        </w:rPr>
        <w:t xml:space="preserve">on </w:t>
      </w:r>
      <w:proofErr w:type="spellStart"/>
      <w:r w:rsidRPr="00887F31">
        <w:rPr>
          <w:b/>
          <w:bCs/>
          <w:sz w:val="24"/>
          <w:szCs w:val="24"/>
        </w:rPr>
        <w:t>line</w:t>
      </w:r>
      <w:proofErr w:type="spellEnd"/>
      <w:r w:rsidRPr="00887F31">
        <w:rPr>
          <w:b/>
          <w:bCs/>
          <w:sz w:val="24"/>
          <w:szCs w:val="24"/>
        </w:rPr>
        <w:t xml:space="preserve">, </w:t>
      </w:r>
      <w:r w:rsidRPr="00887F31">
        <w:rPr>
          <w:sz w:val="24"/>
          <w:szCs w:val="24"/>
        </w:rPr>
        <w:t xml:space="preserve">internetski na propisanom obrascu zahtjeva (KTG/15), koji je dostupan na mrežnim stranicama Ministarstva turizma: </w:t>
      </w:r>
      <w:hyperlink r:id="rId11" w:history="1">
        <w:r w:rsidRPr="00887F31">
          <w:rPr>
            <w:rStyle w:val="Hyperlink"/>
            <w:sz w:val="24"/>
            <w:szCs w:val="24"/>
          </w:rPr>
          <w:t>www.mint.hr/prijavnice</w:t>
        </w:r>
      </w:hyperlink>
      <w:r w:rsidRPr="00887F31">
        <w:rPr>
          <w:sz w:val="24"/>
          <w:szCs w:val="24"/>
        </w:rPr>
        <w:t>. Prijave popunjene internetski trebaju se dostaviti i u tiskanom obliku s obrazloženjem zahtjeva i svim prilozima na sljedeću adresu:</w:t>
      </w:r>
    </w:p>
    <w:p w:rsidR="003264AD" w:rsidRPr="00887F31" w:rsidRDefault="003264AD" w:rsidP="003264AD">
      <w:pPr>
        <w:pStyle w:val="ListParagraph"/>
        <w:ind w:left="0"/>
        <w:jc w:val="both"/>
        <w:rPr>
          <w:sz w:val="24"/>
          <w:szCs w:val="24"/>
        </w:rPr>
      </w:pPr>
    </w:p>
    <w:p w:rsidR="003264AD" w:rsidRPr="0004087E" w:rsidRDefault="003264AD" w:rsidP="003264AD">
      <w:pPr>
        <w:pStyle w:val="ListParagraph"/>
        <w:pBdr>
          <w:top w:val="single" w:sz="4" w:space="1" w:color="auto"/>
          <w:left w:val="single" w:sz="4" w:space="4" w:color="auto"/>
          <w:bottom w:val="single" w:sz="4" w:space="0" w:color="auto"/>
          <w:right w:val="single" w:sz="4" w:space="4" w:color="auto"/>
        </w:pBdr>
        <w:ind w:left="0"/>
      </w:pPr>
    </w:p>
    <w:p w:rsidR="003264AD" w:rsidRPr="00887F31" w:rsidRDefault="003264AD" w:rsidP="003264AD">
      <w:pPr>
        <w:pStyle w:val="ListParagraph"/>
        <w:pBdr>
          <w:top w:val="single" w:sz="4" w:space="1" w:color="auto"/>
          <w:left w:val="single" w:sz="4" w:space="4" w:color="auto"/>
          <w:bottom w:val="single" w:sz="4" w:space="0" w:color="auto"/>
          <w:right w:val="single" w:sz="4" w:space="4" w:color="auto"/>
        </w:pBdr>
        <w:ind w:left="0"/>
        <w:rPr>
          <w:sz w:val="24"/>
          <w:szCs w:val="24"/>
        </w:rPr>
      </w:pPr>
      <w:r w:rsidRPr="00887F31">
        <w:rPr>
          <w:sz w:val="24"/>
          <w:szCs w:val="24"/>
        </w:rPr>
        <w:t>Puni naziv i adresa</w:t>
      </w:r>
    </w:p>
    <w:p w:rsidR="003264AD" w:rsidRPr="00887F31" w:rsidRDefault="003264AD" w:rsidP="003264AD">
      <w:pPr>
        <w:pStyle w:val="ListParagraph"/>
        <w:pBdr>
          <w:top w:val="single" w:sz="4" w:space="1" w:color="auto"/>
          <w:left w:val="single" w:sz="4" w:space="4" w:color="auto"/>
          <w:bottom w:val="single" w:sz="4" w:space="0" w:color="auto"/>
          <w:right w:val="single" w:sz="4" w:space="4" w:color="auto"/>
        </w:pBdr>
        <w:ind w:left="0"/>
        <w:rPr>
          <w:sz w:val="24"/>
          <w:szCs w:val="24"/>
          <w:vertAlign w:val="superscript"/>
        </w:rPr>
      </w:pPr>
      <w:r w:rsidRPr="00887F31">
        <w:rPr>
          <w:sz w:val="24"/>
          <w:szCs w:val="24"/>
        </w:rPr>
        <w:t>prijavitelja</w:t>
      </w:r>
      <w:r w:rsidRPr="00887F31">
        <w:rPr>
          <w:sz w:val="24"/>
          <w:szCs w:val="24"/>
          <w:vertAlign w:val="superscript"/>
        </w:rPr>
        <w:t>*</w:t>
      </w:r>
    </w:p>
    <w:p w:rsidR="003264AD" w:rsidRPr="00887F31" w:rsidRDefault="003264AD" w:rsidP="003264AD">
      <w:pPr>
        <w:pStyle w:val="ListParagraph"/>
        <w:pBdr>
          <w:top w:val="single" w:sz="4" w:space="1" w:color="auto"/>
          <w:left w:val="single" w:sz="4" w:space="4" w:color="auto"/>
          <w:bottom w:val="single" w:sz="4" w:space="0" w:color="auto"/>
          <w:right w:val="single" w:sz="4" w:space="4" w:color="auto"/>
        </w:pBdr>
        <w:ind w:left="0"/>
        <w:jc w:val="right"/>
        <w:rPr>
          <w:sz w:val="24"/>
          <w:szCs w:val="24"/>
        </w:rPr>
      </w:pPr>
      <w:r w:rsidRPr="00887F31">
        <w:rPr>
          <w:sz w:val="24"/>
          <w:szCs w:val="24"/>
        </w:rPr>
        <w:t>MINISTARSTVO TURIZMA</w:t>
      </w:r>
    </w:p>
    <w:p w:rsidR="003264AD" w:rsidRPr="00887F31" w:rsidRDefault="003264AD" w:rsidP="003264AD">
      <w:pPr>
        <w:pStyle w:val="ListParagraph"/>
        <w:pBdr>
          <w:top w:val="single" w:sz="4" w:space="1" w:color="auto"/>
          <w:left w:val="single" w:sz="4" w:space="4" w:color="auto"/>
          <w:bottom w:val="single" w:sz="4" w:space="0" w:color="auto"/>
          <w:right w:val="single" w:sz="4" w:space="4" w:color="auto"/>
        </w:pBdr>
        <w:ind w:left="0"/>
        <w:jc w:val="right"/>
        <w:rPr>
          <w:sz w:val="24"/>
          <w:szCs w:val="24"/>
        </w:rPr>
      </w:pPr>
      <w:r w:rsidRPr="00887F31">
        <w:rPr>
          <w:sz w:val="24"/>
          <w:szCs w:val="24"/>
        </w:rPr>
        <w:t xml:space="preserve">Prijava na javni poziv </w:t>
      </w:r>
    </w:p>
    <w:p w:rsidR="003264AD" w:rsidRPr="00887F31" w:rsidRDefault="003264AD" w:rsidP="003264AD">
      <w:pPr>
        <w:pStyle w:val="ListParagraph"/>
        <w:pBdr>
          <w:top w:val="single" w:sz="4" w:space="1" w:color="auto"/>
          <w:left w:val="single" w:sz="4" w:space="4" w:color="auto"/>
          <w:bottom w:val="single" w:sz="4" w:space="0" w:color="auto"/>
          <w:right w:val="single" w:sz="4" w:space="4" w:color="auto"/>
        </w:pBdr>
        <w:ind w:left="0"/>
        <w:jc w:val="right"/>
        <w:rPr>
          <w:sz w:val="24"/>
          <w:szCs w:val="24"/>
        </w:rPr>
      </w:pPr>
      <w:r w:rsidRPr="00887F31">
        <w:rPr>
          <w:sz w:val="24"/>
          <w:szCs w:val="24"/>
        </w:rPr>
        <w:t>– KONKURENTNOST TURISTIČKOG GOSPODARSTVA</w:t>
      </w:r>
    </w:p>
    <w:p w:rsidR="003264AD" w:rsidRPr="00887F31" w:rsidRDefault="003264AD" w:rsidP="003264AD">
      <w:pPr>
        <w:pStyle w:val="ListParagraph"/>
        <w:pBdr>
          <w:top w:val="single" w:sz="4" w:space="1" w:color="auto"/>
          <w:left w:val="single" w:sz="4" w:space="4" w:color="auto"/>
          <w:bottom w:val="single" w:sz="4" w:space="0" w:color="auto"/>
          <w:right w:val="single" w:sz="4" w:space="4" w:color="auto"/>
        </w:pBdr>
        <w:ind w:left="0"/>
        <w:jc w:val="right"/>
        <w:rPr>
          <w:sz w:val="24"/>
          <w:szCs w:val="24"/>
        </w:rPr>
      </w:pPr>
      <w:r w:rsidRPr="00887F31">
        <w:rPr>
          <w:sz w:val="24"/>
          <w:szCs w:val="24"/>
        </w:rPr>
        <w:t xml:space="preserve">- Navesti grupu namjene </w:t>
      </w:r>
      <w:r w:rsidRPr="00887F31">
        <w:rPr>
          <w:b/>
          <w:bCs/>
          <w:sz w:val="24"/>
          <w:szCs w:val="24"/>
        </w:rPr>
        <w:t>A</w:t>
      </w:r>
      <w:r w:rsidRPr="00887F31">
        <w:rPr>
          <w:b/>
          <w:sz w:val="24"/>
          <w:szCs w:val="24"/>
        </w:rPr>
        <w:t>1, A2, A3, A4,</w:t>
      </w:r>
      <w:r w:rsidRPr="00887F31">
        <w:rPr>
          <w:b/>
          <w:bCs/>
          <w:sz w:val="24"/>
          <w:szCs w:val="24"/>
        </w:rPr>
        <w:t xml:space="preserve"> B ili C</w:t>
      </w:r>
    </w:p>
    <w:p w:rsidR="003264AD" w:rsidRPr="00887F31" w:rsidRDefault="003264AD" w:rsidP="003264AD">
      <w:pPr>
        <w:pStyle w:val="ListParagraph"/>
        <w:pBdr>
          <w:top w:val="single" w:sz="4" w:space="1" w:color="auto"/>
          <w:left w:val="single" w:sz="4" w:space="4" w:color="auto"/>
          <w:bottom w:val="single" w:sz="4" w:space="0" w:color="auto"/>
          <w:right w:val="single" w:sz="4" w:space="4" w:color="auto"/>
        </w:pBdr>
        <w:ind w:left="0"/>
        <w:jc w:val="right"/>
        <w:rPr>
          <w:sz w:val="24"/>
          <w:szCs w:val="24"/>
        </w:rPr>
      </w:pPr>
      <w:r w:rsidRPr="00887F31">
        <w:rPr>
          <w:sz w:val="24"/>
          <w:szCs w:val="24"/>
        </w:rPr>
        <w:t>-ne otvaraj</w:t>
      </w:r>
    </w:p>
    <w:p w:rsidR="003264AD" w:rsidRPr="00887F31" w:rsidRDefault="003264AD" w:rsidP="003264AD">
      <w:pPr>
        <w:pStyle w:val="ListParagraph"/>
        <w:pBdr>
          <w:top w:val="single" w:sz="4" w:space="1" w:color="auto"/>
          <w:left w:val="single" w:sz="4" w:space="4" w:color="auto"/>
          <w:bottom w:val="single" w:sz="4" w:space="0" w:color="auto"/>
          <w:right w:val="single" w:sz="4" w:space="4" w:color="auto"/>
        </w:pBdr>
        <w:ind w:left="0"/>
        <w:jc w:val="right"/>
        <w:rPr>
          <w:sz w:val="24"/>
          <w:szCs w:val="24"/>
        </w:rPr>
      </w:pPr>
      <w:r w:rsidRPr="00887F31">
        <w:rPr>
          <w:sz w:val="24"/>
          <w:szCs w:val="24"/>
        </w:rPr>
        <w:t>Prisavlje 14</w:t>
      </w:r>
    </w:p>
    <w:p w:rsidR="003264AD" w:rsidRPr="0004087E" w:rsidRDefault="003264AD" w:rsidP="003264AD">
      <w:pPr>
        <w:pStyle w:val="ListParagraph"/>
        <w:pBdr>
          <w:top w:val="single" w:sz="4" w:space="1" w:color="auto"/>
          <w:left w:val="single" w:sz="4" w:space="4" w:color="auto"/>
          <w:bottom w:val="single" w:sz="4" w:space="0" w:color="auto"/>
          <w:right w:val="single" w:sz="4" w:space="4" w:color="auto"/>
        </w:pBdr>
        <w:ind w:left="0"/>
        <w:jc w:val="right"/>
      </w:pPr>
      <w:r w:rsidRPr="00887F31">
        <w:rPr>
          <w:sz w:val="24"/>
          <w:szCs w:val="24"/>
        </w:rPr>
        <w:t>10 000 ZAGREB</w:t>
      </w:r>
    </w:p>
    <w:p w:rsidR="003264AD" w:rsidRPr="0004087E" w:rsidRDefault="003264AD" w:rsidP="003264AD">
      <w:pPr>
        <w:pStyle w:val="ListParagraph"/>
        <w:ind w:left="0"/>
        <w:rPr>
          <w:sz w:val="24"/>
          <w:szCs w:val="24"/>
          <w:vertAlign w:val="superscript"/>
        </w:rPr>
      </w:pPr>
      <w:r w:rsidRPr="0004087E">
        <w:rPr>
          <w:vertAlign w:val="superscript"/>
        </w:rPr>
        <w:t>*</w:t>
      </w:r>
      <w:r w:rsidRPr="0004087E">
        <w:rPr>
          <w:sz w:val="24"/>
          <w:szCs w:val="24"/>
          <w:vertAlign w:val="superscript"/>
        </w:rPr>
        <w:t xml:space="preserve"> Ako vanjska omotnica ne sadrži Puni naziv i adresu  prijavitelja i oznaku grupe namjene, prijava će se smatrati nevažećom</w:t>
      </w:r>
    </w:p>
    <w:p w:rsidR="003264AD" w:rsidRPr="0004087E" w:rsidRDefault="003264AD" w:rsidP="003264AD">
      <w:pPr>
        <w:pStyle w:val="ListParagraph"/>
        <w:ind w:left="0"/>
        <w:jc w:val="right"/>
      </w:pPr>
    </w:p>
    <w:p w:rsidR="003264AD" w:rsidRPr="00887F31" w:rsidRDefault="003264AD" w:rsidP="003264AD">
      <w:pPr>
        <w:pStyle w:val="ListParagraph"/>
        <w:ind w:left="0"/>
        <w:rPr>
          <w:sz w:val="24"/>
          <w:szCs w:val="24"/>
        </w:rPr>
      </w:pPr>
      <w:r>
        <w:rPr>
          <w:sz w:val="24"/>
          <w:szCs w:val="24"/>
        </w:rPr>
        <w:t>Na svim obrascima bit</w:t>
      </w:r>
      <w:r w:rsidRPr="00887F31">
        <w:rPr>
          <w:sz w:val="24"/>
          <w:szCs w:val="24"/>
        </w:rPr>
        <w:t xml:space="preserve"> će napomena o načinu dostave (u elektronskom i/ili tiskanom obliku). </w:t>
      </w:r>
    </w:p>
    <w:p w:rsidR="003264AD" w:rsidRPr="00887F31" w:rsidRDefault="003264AD" w:rsidP="003264AD">
      <w:pPr>
        <w:pStyle w:val="ListParagraph"/>
        <w:ind w:left="0"/>
        <w:rPr>
          <w:sz w:val="24"/>
          <w:szCs w:val="24"/>
        </w:rPr>
      </w:pPr>
      <w:r w:rsidRPr="00887F31">
        <w:rPr>
          <w:sz w:val="24"/>
          <w:szCs w:val="24"/>
        </w:rPr>
        <w:t>Na sva propisana mjesta staviti žig i/ili potpis odgovorne osobe.</w:t>
      </w:r>
    </w:p>
    <w:p w:rsidR="003264AD" w:rsidRPr="00887F31" w:rsidRDefault="003264AD" w:rsidP="003264AD">
      <w:pPr>
        <w:pStyle w:val="ListParagraph"/>
        <w:ind w:left="0"/>
        <w:rPr>
          <w:sz w:val="24"/>
          <w:szCs w:val="24"/>
        </w:rPr>
      </w:pPr>
      <w:r w:rsidRPr="00887F31">
        <w:rPr>
          <w:sz w:val="24"/>
          <w:szCs w:val="24"/>
        </w:rPr>
        <w:t>Priložiti točne, potpune podatke i potpunu dokumentaciju.</w:t>
      </w:r>
    </w:p>
    <w:p w:rsidR="003264AD" w:rsidRPr="00887F31" w:rsidRDefault="003264AD" w:rsidP="003264AD">
      <w:pPr>
        <w:pStyle w:val="ListParagraph"/>
        <w:ind w:left="0"/>
        <w:rPr>
          <w:b/>
          <w:bCs/>
          <w:sz w:val="24"/>
          <w:szCs w:val="24"/>
        </w:rPr>
      </w:pPr>
    </w:p>
    <w:p w:rsidR="003264AD" w:rsidRPr="00887F31" w:rsidRDefault="003264AD" w:rsidP="003264AD">
      <w:pPr>
        <w:pStyle w:val="ListParagraph"/>
        <w:ind w:left="0"/>
        <w:rPr>
          <w:b/>
          <w:bCs/>
          <w:sz w:val="24"/>
          <w:szCs w:val="24"/>
        </w:rPr>
      </w:pPr>
      <w:r w:rsidRPr="00887F31">
        <w:rPr>
          <w:b/>
          <w:bCs/>
          <w:sz w:val="24"/>
          <w:szCs w:val="24"/>
        </w:rPr>
        <w:t xml:space="preserve">Zahtjevi temeljem Javnog poziva zaprimaju se </w:t>
      </w:r>
      <w:r w:rsidRPr="00F22A6D">
        <w:rPr>
          <w:b/>
          <w:bCs/>
          <w:sz w:val="24"/>
          <w:szCs w:val="24"/>
        </w:rPr>
        <w:t xml:space="preserve">do </w:t>
      </w:r>
      <w:r w:rsidR="00A72D7A" w:rsidRPr="00F22A6D">
        <w:rPr>
          <w:b/>
          <w:bCs/>
          <w:sz w:val="24"/>
          <w:szCs w:val="24"/>
        </w:rPr>
        <w:t>3</w:t>
      </w:r>
      <w:r w:rsidRPr="00F22A6D">
        <w:rPr>
          <w:b/>
          <w:bCs/>
          <w:sz w:val="24"/>
          <w:szCs w:val="24"/>
        </w:rPr>
        <w:t>0. ožujka</w:t>
      </w:r>
      <w:r w:rsidRPr="00887F31">
        <w:rPr>
          <w:b/>
          <w:bCs/>
          <w:sz w:val="24"/>
          <w:szCs w:val="24"/>
        </w:rPr>
        <w:t xml:space="preserve"> 2015. godine (navedeni datum je zadnji rok predaje na poštu, ili u pisarnicu Ministarstva).</w:t>
      </w:r>
    </w:p>
    <w:p w:rsidR="003264AD" w:rsidRDefault="003264AD" w:rsidP="003264AD">
      <w:pPr>
        <w:pStyle w:val="ListParagraph"/>
        <w:ind w:left="0"/>
        <w:rPr>
          <w:sz w:val="24"/>
          <w:szCs w:val="24"/>
        </w:rPr>
      </w:pPr>
    </w:p>
    <w:p w:rsidR="0027780B" w:rsidRDefault="0027780B" w:rsidP="003264AD">
      <w:pPr>
        <w:pStyle w:val="ListParagraph"/>
        <w:ind w:left="0"/>
        <w:rPr>
          <w:sz w:val="24"/>
          <w:szCs w:val="24"/>
        </w:rPr>
      </w:pPr>
    </w:p>
    <w:p w:rsidR="003264AD" w:rsidRDefault="003264AD" w:rsidP="003264AD">
      <w:pPr>
        <w:pStyle w:val="ListParagraph"/>
        <w:ind w:left="0"/>
        <w:rPr>
          <w:sz w:val="24"/>
          <w:szCs w:val="24"/>
        </w:rPr>
      </w:pPr>
      <w:r w:rsidRPr="00887F31">
        <w:rPr>
          <w:sz w:val="24"/>
          <w:szCs w:val="24"/>
        </w:rPr>
        <w:t>DOKUMENTACIJA KOJA SE DOSTAVLJA UZ ZAHTJEV</w:t>
      </w:r>
    </w:p>
    <w:p w:rsidR="00F22A6D" w:rsidRPr="00887F31" w:rsidRDefault="00F22A6D" w:rsidP="003264AD">
      <w:pPr>
        <w:pStyle w:val="ListParagraph"/>
        <w:ind w:left="0"/>
        <w:rPr>
          <w:sz w:val="24"/>
          <w:szCs w:val="24"/>
        </w:rPr>
      </w:pPr>
    </w:p>
    <w:p w:rsidR="003264AD" w:rsidRPr="00887F31" w:rsidRDefault="003264AD" w:rsidP="003264AD">
      <w:pPr>
        <w:pStyle w:val="ListParagraph"/>
        <w:numPr>
          <w:ilvl w:val="0"/>
          <w:numId w:val="3"/>
        </w:numPr>
        <w:jc w:val="both"/>
        <w:rPr>
          <w:sz w:val="24"/>
          <w:szCs w:val="24"/>
        </w:rPr>
      </w:pPr>
      <w:r w:rsidRPr="00887F31">
        <w:rPr>
          <w:sz w:val="24"/>
          <w:szCs w:val="24"/>
        </w:rPr>
        <w:t xml:space="preserve">ispunjen obrazac zahtjeva </w:t>
      </w:r>
      <w:r w:rsidRPr="00887F31">
        <w:rPr>
          <w:b/>
          <w:bCs/>
          <w:sz w:val="24"/>
          <w:szCs w:val="24"/>
        </w:rPr>
        <w:t xml:space="preserve">KTG/15 </w:t>
      </w:r>
      <w:r w:rsidRPr="00887F31">
        <w:rPr>
          <w:sz w:val="24"/>
          <w:szCs w:val="24"/>
        </w:rPr>
        <w:t>koji se nalazi na internetskim stranicama Ministarstva (</w:t>
      </w:r>
      <w:hyperlink r:id="rId12" w:history="1">
        <w:r w:rsidRPr="00887F31">
          <w:rPr>
            <w:rStyle w:val="Hyperlink"/>
            <w:sz w:val="24"/>
            <w:szCs w:val="24"/>
          </w:rPr>
          <w:t>www.mint.hr</w:t>
        </w:r>
      </w:hyperlink>
      <w:r w:rsidRPr="00887F31">
        <w:rPr>
          <w:sz w:val="24"/>
          <w:szCs w:val="24"/>
        </w:rPr>
        <w:t>)</w:t>
      </w:r>
    </w:p>
    <w:p w:rsidR="003264AD" w:rsidRPr="00887F31" w:rsidRDefault="003264AD" w:rsidP="003264AD">
      <w:pPr>
        <w:pStyle w:val="ListParagraph"/>
        <w:numPr>
          <w:ilvl w:val="0"/>
          <w:numId w:val="3"/>
        </w:numPr>
        <w:jc w:val="both"/>
        <w:rPr>
          <w:sz w:val="24"/>
          <w:szCs w:val="24"/>
        </w:rPr>
      </w:pPr>
      <w:r w:rsidRPr="00887F31">
        <w:rPr>
          <w:sz w:val="24"/>
          <w:szCs w:val="24"/>
        </w:rPr>
        <w:t>dokaz o pravnom statusu podnositelja zahtjeva (preslika izvoda iz Trgovačkog, obrtnog ili drugog odgovarajućeg registra)</w:t>
      </w:r>
    </w:p>
    <w:p w:rsidR="003264AD" w:rsidRDefault="003264AD" w:rsidP="003264AD">
      <w:pPr>
        <w:pStyle w:val="ListParagraph"/>
        <w:numPr>
          <w:ilvl w:val="0"/>
          <w:numId w:val="3"/>
        </w:numPr>
        <w:jc w:val="both"/>
        <w:rPr>
          <w:sz w:val="24"/>
          <w:szCs w:val="24"/>
        </w:rPr>
      </w:pPr>
      <w:r w:rsidRPr="001B1FF0">
        <w:rPr>
          <w:sz w:val="24"/>
          <w:szCs w:val="24"/>
        </w:rPr>
        <w:t xml:space="preserve">za postojeće ugostiteljske objekte – preslika važećeg rješenja o ispunjavanju minimalnih uvjeta za vrstu i kategoriju ugostiteljskog objekta </w:t>
      </w:r>
    </w:p>
    <w:p w:rsidR="003264AD" w:rsidRPr="001B1FF0" w:rsidRDefault="003264AD" w:rsidP="003264AD">
      <w:pPr>
        <w:pStyle w:val="ListParagraph"/>
        <w:numPr>
          <w:ilvl w:val="0"/>
          <w:numId w:val="3"/>
        </w:numPr>
        <w:jc w:val="both"/>
        <w:rPr>
          <w:sz w:val="24"/>
          <w:szCs w:val="24"/>
        </w:rPr>
      </w:pPr>
      <w:r w:rsidRPr="001B1FF0">
        <w:rPr>
          <w:sz w:val="24"/>
          <w:szCs w:val="24"/>
        </w:rPr>
        <w:t>potvrda Porezne uprave o nepostojanju duga prema državi (ne starija od 30 dana od datuma podnošenja prijave)</w:t>
      </w:r>
    </w:p>
    <w:p w:rsidR="003264AD" w:rsidRPr="00887F31" w:rsidRDefault="003264AD" w:rsidP="003264AD">
      <w:pPr>
        <w:pStyle w:val="ListParagraph"/>
        <w:numPr>
          <w:ilvl w:val="0"/>
          <w:numId w:val="3"/>
        </w:numPr>
        <w:jc w:val="both"/>
        <w:rPr>
          <w:sz w:val="24"/>
          <w:szCs w:val="24"/>
        </w:rPr>
      </w:pPr>
      <w:r w:rsidRPr="00887F31">
        <w:rPr>
          <w:sz w:val="24"/>
          <w:szCs w:val="24"/>
        </w:rPr>
        <w:t>ispunjena Izjava o korištenim potporama male vrijednosti (Izjavu su obvezni dostaviti i poduzetnici koji do sada nisu koristili potpore male vrijednosti)</w:t>
      </w:r>
    </w:p>
    <w:p w:rsidR="003264AD" w:rsidRPr="00887F31" w:rsidRDefault="003264AD" w:rsidP="003264AD">
      <w:pPr>
        <w:pStyle w:val="ListParagraph"/>
        <w:numPr>
          <w:ilvl w:val="0"/>
          <w:numId w:val="3"/>
        </w:numPr>
        <w:jc w:val="both"/>
        <w:rPr>
          <w:sz w:val="24"/>
          <w:szCs w:val="24"/>
        </w:rPr>
      </w:pPr>
      <w:r w:rsidRPr="00887F31">
        <w:rPr>
          <w:sz w:val="24"/>
          <w:szCs w:val="24"/>
        </w:rPr>
        <w:lastRenderedPageBreak/>
        <w:t>dokaz o vlasničkom ili drugom stvarno-pravnom statusu prema objektu, ili području realizacije projekta</w:t>
      </w:r>
    </w:p>
    <w:p w:rsidR="003264AD" w:rsidRPr="00887F31" w:rsidRDefault="003264AD" w:rsidP="003264AD">
      <w:pPr>
        <w:pStyle w:val="ListParagraph"/>
        <w:numPr>
          <w:ilvl w:val="0"/>
          <w:numId w:val="3"/>
        </w:numPr>
        <w:jc w:val="both"/>
        <w:rPr>
          <w:sz w:val="24"/>
          <w:szCs w:val="24"/>
        </w:rPr>
      </w:pPr>
      <w:r w:rsidRPr="00887F31">
        <w:rPr>
          <w:sz w:val="24"/>
          <w:szCs w:val="24"/>
        </w:rPr>
        <w:t>opis projekta s dokumentacijom koja ga pojašnjava (tehnička dokumentacija s potrebnim odobrenjima i dozvolama, trajanje i faze realizacije, foto dokumentacija ili druga dokumentacija kojom se pojašnjava projekt)</w:t>
      </w:r>
    </w:p>
    <w:p w:rsidR="003264AD" w:rsidRPr="00887F31" w:rsidRDefault="003264AD" w:rsidP="003264AD">
      <w:pPr>
        <w:pStyle w:val="ListParagraph"/>
        <w:numPr>
          <w:ilvl w:val="0"/>
          <w:numId w:val="3"/>
        </w:numPr>
        <w:jc w:val="both"/>
        <w:rPr>
          <w:sz w:val="24"/>
          <w:szCs w:val="24"/>
        </w:rPr>
      </w:pPr>
      <w:r w:rsidRPr="00887F31">
        <w:rPr>
          <w:sz w:val="24"/>
          <w:szCs w:val="24"/>
        </w:rPr>
        <w:t>troškovnik provedbe projekta koji se kandidira, s naznačenim do sada realiziranim stavkama troškovnika, ili ponude za projektne aktivnosti za koje se traže sredstva potpore</w:t>
      </w:r>
    </w:p>
    <w:p w:rsidR="003264AD" w:rsidRPr="00887F31" w:rsidRDefault="003264AD" w:rsidP="003264AD">
      <w:pPr>
        <w:pStyle w:val="ListParagraph"/>
        <w:numPr>
          <w:ilvl w:val="0"/>
          <w:numId w:val="3"/>
        </w:numPr>
        <w:jc w:val="both"/>
        <w:rPr>
          <w:sz w:val="24"/>
          <w:szCs w:val="24"/>
        </w:rPr>
      </w:pPr>
      <w:r w:rsidRPr="00887F31">
        <w:rPr>
          <w:sz w:val="24"/>
          <w:szCs w:val="24"/>
        </w:rPr>
        <w:t>program ulaganja i izvori financiranja uz dostavu dokaza (izjava o visini vlastitih sredstava, ugovori o sufinanciranju projekta od drugih subjekata i dr.)</w:t>
      </w:r>
    </w:p>
    <w:p w:rsidR="003264AD" w:rsidRPr="00887F31" w:rsidRDefault="003264AD" w:rsidP="003264AD">
      <w:pPr>
        <w:pStyle w:val="ListParagraph"/>
        <w:numPr>
          <w:ilvl w:val="0"/>
          <w:numId w:val="3"/>
        </w:numPr>
        <w:jc w:val="both"/>
        <w:rPr>
          <w:sz w:val="24"/>
          <w:szCs w:val="24"/>
        </w:rPr>
      </w:pPr>
      <w:r w:rsidRPr="00887F31">
        <w:rPr>
          <w:sz w:val="24"/>
          <w:szCs w:val="24"/>
        </w:rPr>
        <w:t>rješenje nadležnog tijela o uvjetima građenja, ili građevinska dozvola ili potvrda glavnog projekta, ako se projekt odnosi na izgradnju, obnovu ili rekonstrukciju objekata, sukladno važećim zakonima iz prostornog uređenja i gradnje u doba njihovog ishođenja</w:t>
      </w:r>
    </w:p>
    <w:p w:rsidR="003264AD" w:rsidRPr="00887F31" w:rsidRDefault="003264AD" w:rsidP="003264AD">
      <w:pPr>
        <w:pStyle w:val="ListParagraph"/>
        <w:numPr>
          <w:ilvl w:val="0"/>
          <w:numId w:val="3"/>
        </w:numPr>
        <w:jc w:val="both"/>
        <w:rPr>
          <w:sz w:val="24"/>
          <w:szCs w:val="24"/>
        </w:rPr>
      </w:pPr>
      <w:r w:rsidRPr="00887F31">
        <w:rPr>
          <w:sz w:val="24"/>
          <w:szCs w:val="24"/>
        </w:rPr>
        <w:t>trgovačka društva dostavlja BON1 i BON2</w:t>
      </w:r>
    </w:p>
    <w:p w:rsidR="003264AD" w:rsidRPr="00887F31" w:rsidRDefault="003264AD" w:rsidP="003264AD">
      <w:pPr>
        <w:pStyle w:val="ListParagraph"/>
        <w:numPr>
          <w:ilvl w:val="0"/>
          <w:numId w:val="3"/>
        </w:numPr>
        <w:jc w:val="both"/>
        <w:rPr>
          <w:sz w:val="24"/>
          <w:szCs w:val="24"/>
        </w:rPr>
      </w:pPr>
      <w:r w:rsidRPr="00887F31">
        <w:rPr>
          <w:sz w:val="24"/>
          <w:szCs w:val="24"/>
        </w:rPr>
        <w:t>svi s postojećim smještajnim kapacitetima dostavljaju potvrdu nadležne turističke zajednice o broju noćenja i plaćenoj boravišnoj pristojbi</w:t>
      </w:r>
    </w:p>
    <w:p w:rsidR="003264AD" w:rsidRPr="00D76905" w:rsidRDefault="003264AD" w:rsidP="003264AD">
      <w:pPr>
        <w:pStyle w:val="ListParagraph"/>
        <w:numPr>
          <w:ilvl w:val="0"/>
          <w:numId w:val="3"/>
        </w:numPr>
        <w:jc w:val="both"/>
        <w:rPr>
          <w:sz w:val="24"/>
          <w:szCs w:val="24"/>
        </w:rPr>
      </w:pPr>
      <w:r w:rsidRPr="00D76905">
        <w:rPr>
          <w:sz w:val="24"/>
          <w:szCs w:val="24"/>
        </w:rPr>
        <w:t>RSM obrazac o zaposlenima za 2014. godinu</w:t>
      </w:r>
      <w:r w:rsidR="00D76905" w:rsidRPr="00D76905">
        <w:rPr>
          <w:sz w:val="24"/>
          <w:szCs w:val="24"/>
        </w:rPr>
        <w:t xml:space="preserve"> </w:t>
      </w:r>
    </w:p>
    <w:p w:rsidR="003264AD" w:rsidRDefault="003264AD" w:rsidP="003264AD">
      <w:pPr>
        <w:pStyle w:val="ListParagraph"/>
        <w:ind w:left="0"/>
        <w:jc w:val="both"/>
        <w:rPr>
          <w:sz w:val="24"/>
          <w:szCs w:val="24"/>
        </w:rPr>
      </w:pPr>
    </w:p>
    <w:p w:rsidR="0027780B" w:rsidRDefault="0027780B"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ZAHTJEVI KOJI SE NEĆE RAZMATRATI</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numPr>
          <w:ilvl w:val="0"/>
          <w:numId w:val="3"/>
        </w:numPr>
        <w:jc w:val="both"/>
        <w:rPr>
          <w:sz w:val="24"/>
          <w:szCs w:val="24"/>
        </w:rPr>
      </w:pPr>
      <w:r w:rsidRPr="00887F31">
        <w:rPr>
          <w:sz w:val="24"/>
          <w:szCs w:val="24"/>
        </w:rPr>
        <w:t>koji se ne dostave u roku</w:t>
      </w:r>
    </w:p>
    <w:p w:rsidR="003264AD" w:rsidRPr="00887F31" w:rsidRDefault="003264AD" w:rsidP="003264AD">
      <w:pPr>
        <w:pStyle w:val="ListParagraph"/>
        <w:numPr>
          <w:ilvl w:val="0"/>
          <w:numId w:val="3"/>
        </w:numPr>
        <w:jc w:val="both"/>
        <w:rPr>
          <w:sz w:val="24"/>
          <w:szCs w:val="24"/>
        </w:rPr>
      </w:pPr>
      <w:r w:rsidRPr="00887F31">
        <w:rPr>
          <w:sz w:val="24"/>
          <w:szCs w:val="24"/>
        </w:rPr>
        <w:t>koji nisu dostavljeni u elektroničkom (propisani dio) i tiskanom obliku</w:t>
      </w:r>
    </w:p>
    <w:p w:rsidR="003264AD" w:rsidRPr="00887F31" w:rsidRDefault="003264AD" w:rsidP="003264AD">
      <w:pPr>
        <w:pStyle w:val="ListParagraph"/>
        <w:numPr>
          <w:ilvl w:val="0"/>
          <w:numId w:val="3"/>
        </w:numPr>
        <w:jc w:val="both"/>
        <w:rPr>
          <w:sz w:val="24"/>
          <w:szCs w:val="24"/>
        </w:rPr>
      </w:pPr>
      <w:r w:rsidRPr="00887F31">
        <w:rPr>
          <w:sz w:val="24"/>
          <w:szCs w:val="24"/>
        </w:rPr>
        <w:t>koji nisu sukladni Programu</w:t>
      </w:r>
    </w:p>
    <w:p w:rsidR="003264AD" w:rsidRPr="00887F31" w:rsidRDefault="003264AD" w:rsidP="003264AD">
      <w:pPr>
        <w:pStyle w:val="ListParagraph"/>
        <w:numPr>
          <w:ilvl w:val="0"/>
          <w:numId w:val="3"/>
        </w:numPr>
        <w:jc w:val="both"/>
        <w:rPr>
          <w:sz w:val="24"/>
          <w:szCs w:val="24"/>
        </w:rPr>
      </w:pPr>
      <w:r w:rsidRPr="00887F31">
        <w:rPr>
          <w:sz w:val="24"/>
          <w:szCs w:val="24"/>
        </w:rPr>
        <w:t>koji nemaju priloženu traženu dokumentaciju i u kojoj nisu jasno navedeni ciljevi i/ili namjena te planirana turistička valorizacija</w:t>
      </w:r>
    </w:p>
    <w:p w:rsidR="003264AD" w:rsidRPr="00887F31" w:rsidRDefault="003264AD" w:rsidP="003264AD">
      <w:pPr>
        <w:pStyle w:val="ListParagraph"/>
        <w:numPr>
          <w:ilvl w:val="0"/>
          <w:numId w:val="3"/>
        </w:numPr>
        <w:jc w:val="both"/>
        <w:rPr>
          <w:sz w:val="24"/>
          <w:szCs w:val="24"/>
        </w:rPr>
      </w:pPr>
      <w:r w:rsidRPr="00887F31">
        <w:rPr>
          <w:sz w:val="24"/>
          <w:szCs w:val="24"/>
        </w:rPr>
        <w:t>zahtjevi podnositelja koji nisu izvršili u cijelosti ugovorne obveze prema Ministarstvu tijekom prethodnih godina, temeljem bilo kojega programa</w:t>
      </w:r>
    </w:p>
    <w:p w:rsidR="003264AD" w:rsidRPr="00887F31" w:rsidRDefault="003264AD" w:rsidP="003264AD">
      <w:pPr>
        <w:pStyle w:val="ListParagraph"/>
        <w:numPr>
          <w:ilvl w:val="0"/>
          <w:numId w:val="3"/>
        </w:numPr>
        <w:jc w:val="both"/>
        <w:rPr>
          <w:sz w:val="24"/>
          <w:szCs w:val="24"/>
        </w:rPr>
      </w:pPr>
      <w:r w:rsidRPr="00887F31">
        <w:rPr>
          <w:sz w:val="24"/>
          <w:szCs w:val="24"/>
        </w:rPr>
        <w:t>investicijski projekti koji nisu u skladu s postojećom prostorno planskom dokumentacijom ili drugim pozitivnim propisima RH</w:t>
      </w:r>
    </w:p>
    <w:p w:rsidR="003264AD" w:rsidRPr="00887F31" w:rsidRDefault="003264AD" w:rsidP="003264AD">
      <w:pPr>
        <w:pStyle w:val="ListParagraph"/>
        <w:numPr>
          <w:ilvl w:val="0"/>
          <w:numId w:val="3"/>
        </w:numPr>
        <w:jc w:val="both"/>
        <w:rPr>
          <w:sz w:val="24"/>
          <w:szCs w:val="24"/>
        </w:rPr>
      </w:pPr>
      <w:r w:rsidRPr="00887F31">
        <w:rPr>
          <w:sz w:val="24"/>
          <w:szCs w:val="24"/>
        </w:rPr>
        <w:t>zahtjevi podnositelja kod kojih postoji porezni dug prema državi</w:t>
      </w:r>
    </w:p>
    <w:p w:rsidR="003264AD" w:rsidRPr="00887F31" w:rsidRDefault="003264AD" w:rsidP="003264AD">
      <w:pPr>
        <w:pStyle w:val="ListParagraph"/>
        <w:numPr>
          <w:ilvl w:val="0"/>
          <w:numId w:val="3"/>
        </w:numPr>
        <w:jc w:val="both"/>
        <w:rPr>
          <w:sz w:val="24"/>
          <w:szCs w:val="24"/>
        </w:rPr>
      </w:pPr>
      <w:r w:rsidRPr="00887F31">
        <w:rPr>
          <w:sz w:val="24"/>
          <w:szCs w:val="24"/>
        </w:rPr>
        <w:t xml:space="preserve">zahtjevi podnositelja (poduzetnika) koji su iskoristili dozvoljenu potporu male vrijednosti </w:t>
      </w:r>
      <w:r>
        <w:rPr>
          <w:sz w:val="24"/>
          <w:szCs w:val="24"/>
        </w:rPr>
        <w:t>(200.000 eura) u relevantnom trogodišnjem razdoblju (zbrojena dotična godina</w:t>
      </w:r>
      <w:r w:rsidRPr="00887F31">
        <w:rPr>
          <w:sz w:val="24"/>
          <w:szCs w:val="24"/>
        </w:rPr>
        <w:t xml:space="preserve"> </w:t>
      </w:r>
      <w:r>
        <w:rPr>
          <w:sz w:val="24"/>
          <w:szCs w:val="24"/>
        </w:rPr>
        <w:t xml:space="preserve">i </w:t>
      </w:r>
      <w:r w:rsidRPr="00887F31">
        <w:rPr>
          <w:sz w:val="24"/>
          <w:szCs w:val="24"/>
        </w:rPr>
        <w:t>prethodne dvije fiskalne godine</w:t>
      </w:r>
      <w:r>
        <w:rPr>
          <w:sz w:val="24"/>
          <w:szCs w:val="24"/>
        </w:rPr>
        <w:t>)</w:t>
      </w:r>
    </w:p>
    <w:p w:rsidR="003264AD" w:rsidRPr="00887F31" w:rsidRDefault="003264AD" w:rsidP="003264AD">
      <w:pPr>
        <w:pStyle w:val="ListParagraph"/>
        <w:ind w:left="0"/>
        <w:jc w:val="both"/>
        <w:rPr>
          <w:sz w:val="24"/>
          <w:szCs w:val="24"/>
        </w:rPr>
      </w:pPr>
    </w:p>
    <w:p w:rsidR="0027780B" w:rsidRDefault="0027780B"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OPĆI KRITERIJI ZA OCJENU PROJEKTA</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numPr>
          <w:ilvl w:val="0"/>
          <w:numId w:val="4"/>
        </w:numPr>
        <w:jc w:val="both"/>
        <w:rPr>
          <w:sz w:val="24"/>
          <w:szCs w:val="24"/>
        </w:rPr>
      </w:pPr>
      <w:r w:rsidRPr="00887F31">
        <w:rPr>
          <w:sz w:val="24"/>
          <w:szCs w:val="24"/>
        </w:rPr>
        <w:t xml:space="preserve">važnost projekta za proširenje/poboljšanje turističke ponude i produljenje sezone </w:t>
      </w:r>
    </w:p>
    <w:p w:rsidR="003264AD" w:rsidRPr="00887F31" w:rsidRDefault="003264AD" w:rsidP="003264AD">
      <w:pPr>
        <w:pStyle w:val="ListParagraph"/>
        <w:numPr>
          <w:ilvl w:val="0"/>
          <w:numId w:val="4"/>
        </w:numPr>
        <w:jc w:val="both"/>
        <w:rPr>
          <w:sz w:val="24"/>
          <w:szCs w:val="24"/>
        </w:rPr>
      </w:pPr>
      <w:r w:rsidRPr="00887F31">
        <w:rPr>
          <w:sz w:val="24"/>
          <w:szCs w:val="24"/>
        </w:rPr>
        <w:t>inovativnost i kreativnost projekta</w:t>
      </w:r>
    </w:p>
    <w:p w:rsidR="003264AD" w:rsidRPr="00887F31" w:rsidRDefault="003264AD" w:rsidP="003264AD">
      <w:pPr>
        <w:pStyle w:val="ListParagraph"/>
        <w:numPr>
          <w:ilvl w:val="0"/>
          <w:numId w:val="4"/>
        </w:numPr>
        <w:jc w:val="both"/>
        <w:rPr>
          <w:sz w:val="24"/>
          <w:szCs w:val="24"/>
        </w:rPr>
      </w:pPr>
      <w:r w:rsidRPr="00887F31">
        <w:rPr>
          <w:sz w:val="24"/>
          <w:szCs w:val="24"/>
        </w:rPr>
        <w:t>utjecaj projekta na uštede u poslovanju, samozapošljavanje, zadržavanje postojećih,  te otvaranje novih radnih mjesta</w:t>
      </w:r>
    </w:p>
    <w:p w:rsidR="003264AD" w:rsidRPr="00887F31" w:rsidRDefault="003264AD" w:rsidP="003264AD">
      <w:pPr>
        <w:pStyle w:val="ListParagraph"/>
        <w:numPr>
          <w:ilvl w:val="0"/>
          <w:numId w:val="4"/>
        </w:numPr>
        <w:jc w:val="both"/>
        <w:rPr>
          <w:sz w:val="24"/>
          <w:szCs w:val="24"/>
        </w:rPr>
      </w:pPr>
      <w:r w:rsidRPr="00887F31">
        <w:rPr>
          <w:sz w:val="24"/>
          <w:szCs w:val="24"/>
        </w:rPr>
        <w:t xml:space="preserve">važnost projekta za stvaranje uvjeta novih tržišnih segmenata za turiste s invaliditetom i posebnim potrebama </w:t>
      </w:r>
    </w:p>
    <w:p w:rsidR="003264AD" w:rsidRPr="00887F31" w:rsidRDefault="003264AD" w:rsidP="003264AD">
      <w:pPr>
        <w:pStyle w:val="ListParagraph"/>
        <w:numPr>
          <w:ilvl w:val="0"/>
          <w:numId w:val="4"/>
        </w:numPr>
        <w:jc w:val="both"/>
        <w:rPr>
          <w:sz w:val="24"/>
          <w:szCs w:val="24"/>
        </w:rPr>
      </w:pPr>
      <w:r w:rsidRPr="00887F31">
        <w:rPr>
          <w:sz w:val="24"/>
          <w:szCs w:val="24"/>
        </w:rPr>
        <w:t>vrijednost projekta u smislu očuvanja tradicijskih/autohtonih vrijednosti, tradicijskog graditeljstva, očuvanja/uređenja okoliša</w:t>
      </w:r>
    </w:p>
    <w:p w:rsidR="003264AD" w:rsidRPr="00887F31" w:rsidRDefault="003264AD" w:rsidP="003264AD">
      <w:pPr>
        <w:pStyle w:val="ListParagraph"/>
        <w:numPr>
          <w:ilvl w:val="0"/>
          <w:numId w:val="4"/>
        </w:numPr>
        <w:jc w:val="both"/>
        <w:rPr>
          <w:sz w:val="24"/>
          <w:szCs w:val="24"/>
        </w:rPr>
      </w:pPr>
      <w:r w:rsidRPr="00887F31">
        <w:rPr>
          <w:sz w:val="24"/>
          <w:szCs w:val="24"/>
        </w:rPr>
        <w:lastRenderedPageBreak/>
        <w:t>važnost projekta za područje na kojem se projekt realizira</w:t>
      </w:r>
    </w:p>
    <w:p w:rsidR="003264AD" w:rsidRPr="00887F31" w:rsidRDefault="003264AD" w:rsidP="003264AD">
      <w:pPr>
        <w:pStyle w:val="ListParagraph"/>
        <w:numPr>
          <w:ilvl w:val="0"/>
          <w:numId w:val="4"/>
        </w:numPr>
        <w:jc w:val="both"/>
        <w:rPr>
          <w:sz w:val="24"/>
          <w:szCs w:val="24"/>
        </w:rPr>
      </w:pPr>
      <w:r w:rsidRPr="00887F31">
        <w:rPr>
          <w:sz w:val="24"/>
          <w:szCs w:val="24"/>
        </w:rPr>
        <w:t xml:space="preserve">važnost projekta za unapređenje međunarodne prepoznatljivosti destinacije </w:t>
      </w:r>
    </w:p>
    <w:p w:rsidR="003264AD" w:rsidRPr="00887F31" w:rsidRDefault="003264AD" w:rsidP="003264AD">
      <w:pPr>
        <w:pStyle w:val="ListParagraph"/>
        <w:numPr>
          <w:ilvl w:val="0"/>
          <w:numId w:val="4"/>
        </w:numPr>
        <w:jc w:val="both"/>
        <w:rPr>
          <w:sz w:val="24"/>
          <w:szCs w:val="24"/>
        </w:rPr>
      </w:pPr>
      <w:r w:rsidRPr="00887F31">
        <w:rPr>
          <w:sz w:val="24"/>
          <w:szCs w:val="24"/>
        </w:rPr>
        <w:t xml:space="preserve">postotak uloženih vlastitih sredstava u projektne aktivnosti iz predloženog troškovnika </w:t>
      </w:r>
    </w:p>
    <w:p w:rsidR="0027780B" w:rsidRDefault="0027780B" w:rsidP="003264AD">
      <w:pPr>
        <w:pStyle w:val="ListParagraph"/>
        <w:ind w:left="0"/>
        <w:jc w:val="both"/>
        <w:rPr>
          <w:sz w:val="24"/>
          <w:szCs w:val="24"/>
        </w:rPr>
      </w:pPr>
    </w:p>
    <w:p w:rsidR="0027780B" w:rsidRDefault="0027780B" w:rsidP="003264AD">
      <w:pPr>
        <w:pStyle w:val="ListParagraph"/>
        <w:ind w:left="0"/>
        <w:jc w:val="both"/>
        <w:rPr>
          <w:sz w:val="24"/>
          <w:szCs w:val="24"/>
        </w:rPr>
      </w:pPr>
    </w:p>
    <w:p w:rsidR="003264AD" w:rsidRPr="00887F31" w:rsidRDefault="003264AD" w:rsidP="003264AD">
      <w:pPr>
        <w:pStyle w:val="ListParagraph"/>
        <w:ind w:left="0"/>
        <w:jc w:val="both"/>
        <w:rPr>
          <w:sz w:val="24"/>
          <w:szCs w:val="24"/>
        </w:rPr>
      </w:pPr>
      <w:r w:rsidRPr="00887F31">
        <w:rPr>
          <w:sz w:val="24"/>
          <w:szCs w:val="24"/>
        </w:rPr>
        <w:t>ODOBRAVANJE PROJEKATA</w:t>
      </w:r>
    </w:p>
    <w:p w:rsidR="003264AD" w:rsidRPr="00887F31" w:rsidRDefault="003264AD" w:rsidP="003264AD">
      <w:pPr>
        <w:pStyle w:val="ListParagraph"/>
        <w:ind w:left="0"/>
        <w:jc w:val="both"/>
        <w:rPr>
          <w:sz w:val="24"/>
          <w:szCs w:val="24"/>
        </w:rPr>
      </w:pPr>
    </w:p>
    <w:p w:rsidR="003264AD" w:rsidRPr="00887F31" w:rsidRDefault="003264AD" w:rsidP="003264AD">
      <w:pPr>
        <w:pStyle w:val="ListParagraph"/>
        <w:ind w:left="0"/>
        <w:jc w:val="both"/>
        <w:rPr>
          <w:sz w:val="24"/>
          <w:szCs w:val="24"/>
          <w:lang w:eastAsia="hr-HR"/>
        </w:rPr>
      </w:pPr>
      <w:r w:rsidRPr="00887F31">
        <w:rPr>
          <w:sz w:val="24"/>
          <w:szCs w:val="24"/>
          <w:lang w:eastAsia="hr-HR"/>
        </w:rPr>
        <w:t>Stručna radna skupina za obradu projekata evidentira zaprimljene prijave, utvrđuje koji projekti ispunjavaju, a koji ne ispunjavaju uvjete i kriterije propisane ovim Programom. Stručna radna skupina o svom radu sastavlja zapisnik i dostavlja ga Povjerenstvu za odabir projekata i dodjelu bespovratnih sredstava.</w:t>
      </w:r>
    </w:p>
    <w:p w:rsidR="003264AD" w:rsidRPr="00887F31" w:rsidRDefault="003264AD" w:rsidP="003264AD">
      <w:pPr>
        <w:pStyle w:val="ListParagraph"/>
        <w:ind w:left="0"/>
        <w:jc w:val="both"/>
        <w:rPr>
          <w:sz w:val="24"/>
          <w:szCs w:val="24"/>
          <w:lang w:eastAsia="hr-HR"/>
        </w:rPr>
      </w:pPr>
      <w:r w:rsidRPr="00887F31">
        <w:rPr>
          <w:sz w:val="24"/>
          <w:szCs w:val="24"/>
          <w:lang w:eastAsia="hr-HR"/>
        </w:rPr>
        <w:t xml:space="preserve">Povjerenstvo donosi prijedlog odluke o odabiru projekata i dodjeli bespovratnih sredstava sukladno utvrđenim bodovima/ocjenama i rezultatima rangiranja i primjeni kriterija raspodjele sredstava te ga dostavlja ministru radi donošenja odluke. </w:t>
      </w:r>
    </w:p>
    <w:p w:rsidR="003264AD" w:rsidRPr="00887F31" w:rsidRDefault="003264AD" w:rsidP="003264AD">
      <w:pPr>
        <w:pStyle w:val="ListParagraph"/>
        <w:ind w:left="0"/>
        <w:jc w:val="both"/>
        <w:rPr>
          <w:sz w:val="24"/>
          <w:szCs w:val="24"/>
          <w:lang w:eastAsia="hr-HR"/>
        </w:rPr>
      </w:pPr>
      <w:r w:rsidRPr="00887F31">
        <w:rPr>
          <w:sz w:val="24"/>
          <w:szCs w:val="24"/>
          <w:lang w:eastAsia="hr-HR"/>
        </w:rPr>
        <w:t xml:space="preserve">Ministar, temeljem prijedloga odluke Povjerenstva, donosi Odluku o odabiru projekata i dodjeli bespovratnih sredstava, te s korisnikom sklapa Ugovor o međusobnim pravima i obvezama u realizaciji projekata planiranih u 2015. godini, nadzoru namjenskog korištenja sredstava, </w:t>
      </w:r>
      <w:r w:rsidRPr="00887F31">
        <w:rPr>
          <w:b/>
          <w:bCs/>
          <w:sz w:val="24"/>
          <w:szCs w:val="24"/>
          <w:lang w:eastAsia="hr-HR"/>
        </w:rPr>
        <w:t xml:space="preserve">instrumentima osiguranja za dodijeljena sredstva </w:t>
      </w:r>
      <w:r w:rsidRPr="00887F31">
        <w:rPr>
          <w:sz w:val="24"/>
          <w:szCs w:val="24"/>
          <w:lang w:eastAsia="hr-HR"/>
        </w:rPr>
        <w:t xml:space="preserve">(bjanko zadužnica na propisani prvi veći iznos odobrenih sredstava </w:t>
      </w:r>
      <w:proofErr w:type="spellStart"/>
      <w:r w:rsidRPr="00887F31">
        <w:rPr>
          <w:sz w:val="24"/>
          <w:szCs w:val="24"/>
          <w:lang w:eastAsia="hr-HR"/>
        </w:rPr>
        <w:t>solemnizirana</w:t>
      </w:r>
      <w:proofErr w:type="spellEnd"/>
      <w:r w:rsidRPr="00887F31">
        <w:rPr>
          <w:sz w:val="24"/>
          <w:szCs w:val="24"/>
          <w:lang w:eastAsia="hr-HR"/>
        </w:rPr>
        <w:t xml:space="preserve"> od strane javnog bilježnika koju Ministarstvo zadržava sve do konačnog završetka projekta/programa/aktivnosti).</w:t>
      </w:r>
    </w:p>
    <w:p w:rsidR="003264AD" w:rsidRPr="00887F31" w:rsidRDefault="003264AD" w:rsidP="003264AD">
      <w:pPr>
        <w:pStyle w:val="ListParagraph"/>
        <w:ind w:left="0"/>
        <w:jc w:val="both"/>
        <w:rPr>
          <w:sz w:val="24"/>
          <w:szCs w:val="24"/>
          <w:lang w:eastAsia="hr-HR"/>
        </w:rPr>
      </w:pPr>
    </w:p>
    <w:p w:rsidR="003264AD" w:rsidRPr="00887F31" w:rsidRDefault="003264AD" w:rsidP="003264AD">
      <w:pPr>
        <w:jc w:val="both"/>
        <w:rPr>
          <w:rFonts w:ascii="Calibri" w:eastAsia="Calibri" w:hAnsi="Calibri" w:cs="Calibri"/>
          <w:b/>
        </w:rPr>
      </w:pPr>
      <w:r w:rsidRPr="00887F31">
        <w:rPr>
          <w:rFonts w:ascii="Calibri" w:eastAsia="Calibri" w:hAnsi="Calibri" w:cs="Calibri"/>
          <w:b/>
        </w:rPr>
        <w:t xml:space="preserve">Temeljem ovog Programa, jedan prijavitelj može dobiti bespovratna sredstva samo za jedan projekt, odnosno koristiti sredstva samo jedne Mjere ili </w:t>
      </w:r>
      <w:proofErr w:type="spellStart"/>
      <w:r w:rsidRPr="00887F31">
        <w:rPr>
          <w:rFonts w:ascii="Calibri" w:eastAsia="Calibri" w:hAnsi="Calibri" w:cs="Calibri"/>
          <w:b/>
        </w:rPr>
        <w:t>Podmjere</w:t>
      </w:r>
      <w:proofErr w:type="spellEnd"/>
      <w:r w:rsidRPr="00887F31">
        <w:rPr>
          <w:rFonts w:ascii="Calibri" w:eastAsia="Calibri" w:hAnsi="Calibri" w:cs="Calibri"/>
          <w:b/>
        </w:rPr>
        <w:t xml:space="preserve">. </w:t>
      </w:r>
    </w:p>
    <w:p w:rsidR="003264AD" w:rsidRPr="00887F31" w:rsidRDefault="003264AD" w:rsidP="003264AD">
      <w:pPr>
        <w:pStyle w:val="ListParagraph"/>
        <w:ind w:left="0"/>
        <w:jc w:val="both"/>
        <w:rPr>
          <w:b/>
          <w:sz w:val="24"/>
          <w:szCs w:val="24"/>
          <w:lang w:eastAsia="hr-HR"/>
        </w:rPr>
      </w:pPr>
      <w:r w:rsidRPr="00887F31">
        <w:rPr>
          <w:b/>
          <w:sz w:val="24"/>
          <w:szCs w:val="24"/>
          <w:lang w:eastAsia="hr-HR"/>
        </w:rPr>
        <w:t>Projekti koji ostvare potporu iz programa potpore HTZ-a u 2015. godini, ne mogu ostvariti potporu temeljem ovog Programa.</w:t>
      </w:r>
    </w:p>
    <w:p w:rsidR="003264AD" w:rsidRPr="00887F31" w:rsidRDefault="003264AD" w:rsidP="003264AD">
      <w:pPr>
        <w:pStyle w:val="ListParagraph"/>
        <w:ind w:left="0"/>
        <w:jc w:val="both"/>
        <w:rPr>
          <w:sz w:val="24"/>
          <w:szCs w:val="24"/>
          <w:lang w:eastAsia="hr-HR"/>
        </w:rPr>
      </w:pPr>
    </w:p>
    <w:p w:rsidR="0027780B" w:rsidRDefault="0027780B" w:rsidP="003264AD">
      <w:pPr>
        <w:pStyle w:val="ListParagraph"/>
        <w:ind w:left="0"/>
        <w:jc w:val="both"/>
        <w:rPr>
          <w:sz w:val="24"/>
          <w:szCs w:val="24"/>
          <w:lang w:eastAsia="hr-HR"/>
        </w:rPr>
      </w:pPr>
    </w:p>
    <w:p w:rsidR="003264AD" w:rsidRPr="00887F31" w:rsidRDefault="003264AD" w:rsidP="003264AD">
      <w:pPr>
        <w:pStyle w:val="ListParagraph"/>
        <w:ind w:left="0"/>
        <w:jc w:val="both"/>
        <w:rPr>
          <w:sz w:val="24"/>
          <w:szCs w:val="24"/>
          <w:lang w:eastAsia="hr-HR"/>
        </w:rPr>
      </w:pPr>
      <w:r w:rsidRPr="00887F31">
        <w:rPr>
          <w:sz w:val="24"/>
          <w:szCs w:val="24"/>
          <w:lang w:eastAsia="hr-HR"/>
        </w:rPr>
        <w:t>OBJAVA POPISA KORISNIKA</w:t>
      </w:r>
    </w:p>
    <w:p w:rsidR="003264AD" w:rsidRPr="00887F31" w:rsidRDefault="003264AD" w:rsidP="003264AD">
      <w:pPr>
        <w:pStyle w:val="ListParagraph"/>
        <w:jc w:val="both"/>
        <w:rPr>
          <w:sz w:val="24"/>
          <w:szCs w:val="24"/>
          <w:lang w:eastAsia="hr-HR"/>
        </w:rPr>
      </w:pPr>
    </w:p>
    <w:p w:rsidR="003264AD" w:rsidRPr="00887F31" w:rsidRDefault="003264AD" w:rsidP="003264AD">
      <w:pPr>
        <w:pStyle w:val="ListParagraph"/>
        <w:ind w:left="0"/>
        <w:jc w:val="both"/>
        <w:rPr>
          <w:sz w:val="24"/>
          <w:szCs w:val="24"/>
          <w:lang w:eastAsia="hr-HR"/>
        </w:rPr>
      </w:pPr>
      <w:r w:rsidRPr="00887F31">
        <w:rPr>
          <w:sz w:val="24"/>
          <w:szCs w:val="24"/>
          <w:lang w:eastAsia="hr-HR"/>
        </w:rPr>
        <w:t>Popisi korisnika s iznosom i namjenom dodijeljenih sredstava po korisniku bit će objavljeni na internetskim stranicama Ministarstva (</w:t>
      </w:r>
      <w:hyperlink r:id="rId13" w:history="1">
        <w:r w:rsidRPr="00887F31">
          <w:rPr>
            <w:sz w:val="24"/>
            <w:szCs w:val="24"/>
            <w:lang w:eastAsia="hr-HR"/>
          </w:rPr>
          <w:t>www.mint.hr</w:t>
        </w:r>
      </w:hyperlink>
      <w:r w:rsidRPr="00887F31">
        <w:rPr>
          <w:sz w:val="24"/>
          <w:szCs w:val="24"/>
          <w:lang w:eastAsia="hr-HR"/>
        </w:rPr>
        <w:t>) u roku od 15 dana od dana donošenja konačne odluke o odabiru projekata i dodjeli bespovratnih sredstava.</w:t>
      </w:r>
    </w:p>
    <w:p w:rsidR="003264AD" w:rsidRPr="00887F31" w:rsidRDefault="003264AD" w:rsidP="003264AD">
      <w:pPr>
        <w:pStyle w:val="ListParagraph"/>
        <w:ind w:left="0"/>
        <w:jc w:val="both"/>
        <w:rPr>
          <w:sz w:val="24"/>
          <w:szCs w:val="24"/>
          <w:lang w:eastAsia="hr-HR"/>
        </w:rPr>
      </w:pPr>
      <w:r w:rsidRPr="00887F31">
        <w:rPr>
          <w:sz w:val="24"/>
          <w:szCs w:val="24"/>
          <w:lang w:eastAsia="hr-HR"/>
        </w:rPr>
        <w:t>Kandidati koji ne zadovolje uvjete Programa i/ili im nije dodijeljena potpora neće biti posebno pojedinačno obaviješteni.</w:t>
      </w:r>
    </w:p>
    <w:p w:rsidR="003264AD" w:rsidRDefault="003264AD" w:rsidP="003264AD">
      <w:pPr>
        <w:pStyle w:val="ListParagraph"/>
        <w:jc w:val="both"/>
        <w:rPr>
          <w:sz w:val="24"/>
          <w:szCs w:val="24"/>
          <w:lang w:eastAsia="hr-HR"/>
        </w:rPr>
      </w:pPr>
    </w:p>
    <w:p w:rsidR="0027780B" w:rsidRDefault="0027780B" w:rsidP="003264AD">
      <w:pPr>
        <w:pStyle w:val="ListParagraph"/>
        <w:ind w:left="0"/>
        <w:jc w:val="both"/>
        <w:rPr>
          <w:sz w:val="24"/>
          <w:szCs w:val="24"/>
          <w:lang w:eastAsia="hr-HR"/>
        </w:rPr>
      </w:pPr>
    </w:p>
    <w:p w:rsidR="003264AD" w:rsidRPr="00887F31" w:rsidRDefault="003264AD" w:rsidP="003264AD">
      <w:pPr>
        <w:pStyle w:val="ListParagraph"/>
        <w:ind w:left="0"/>
        <w:jc w:val="both"/>
        <w:rPr>
          <w:sz w:val="24"/>
          <w:szCs w:val="24"/>
          <w:lang w:eastAsia="hr-HR"/>
        </w:rPr>
      </w:pPr>
      <w:r w:rsidRPr="00887F31">
        <w:rPr>
          <w:sz w:val="24"/>
          <w:szCs w:val="24"/>
          <w:lang w:eastAsia="hr-HR"/>
        </w:rPr>
        <w:t>ROK ZA POTPISIVANJE UGOVORA</w:t>
      </w:r>
    </w:p>
    <w:p w:rsidR="003264AD" w:rsidRPr="00887F31" w:rsidRDefault="003264AD" w:rsidP="003264AD">
      <w:pPr>
        <w:pStyle w:val="ListParagraph"/>
        <w:jc w:val="both"/>
        <w:rPr>
          <w:sz w:val="24"/>
          <w:szCs w:val="24"/>
          <w:lang w:eastAsia="hr-HR"/>
        </w:rPr>
      </w:pPr>
    </w:p>
    <w:p w:rsidR="003264AD" w:rsidRPr="00887F31" w:rsidRDefault="003264AD" w:rsidP="003264AD">
      <w:pPr>
        <w:pStyle w:val="ListParagraph"/>
        <w:ind w:left="0"/>
        <w:jc w:val="both"/>
        <w:rPr>
          <w:sz w:val="24"/>
          <w:szCs w:val="24"/>
          <w:lang w:eastAsia="hr-HR"/>
        </w:rPr>
      </w:pPr>
      <w:r w:rsidRPr="00887F31">
        <w:rPr>
          <w:sz w:val="24"/>
          <w:szCs w:val="24"/>
          <w:lang w:eastAsia="hr-HR"/>
        </w:rPr>
        <w:t>Ministarstvo će s odabranim korisnicima potpisati ugovor najkasnije u roku od 15 dana od dana objave Odluke.</w:t>
      </w:r>
    </w:p>
    <w:p w:rsidR="003264AD" w:rsidRPr="00887F31" w:rsidRDefault="003264AD" w:rsidP="003264AD">
      <w:pPr>
        <w:pStyle w:val="ListParagraph"/>
        <w:jc w:val="both"/>
        <w:rPr>
          <w:sz w:val="24"/>
          <w:szCs w:val="24"/>
          <w:lang w:eastAsia="hr-HR"/>
        </w:rPr>
      </w:pPr>
    </w:p>
    <w:p w:rsidR="0027780B" w:rsidRDefault="0027780B" w:rsidP="003264AD">
      <w:pPr>
        <w:pStyle w:val="ListParagraph"/>
        <w:ind w:left="0"/>
        <w:jc w:val="both"/>
        <w:rPr>
          <w:sz w:val="24"/>
          <w:szCs w:val="24"/>
          <w:lang w:eastAsia="hr-HR"/>
        </w:rPr>
      </w:pPr>
    </w:p>
    <w:p w:rsidR="003264AD" w:rsidRPr="00887F31" w:rsidRDefault="003264AD" w:rsidP="003264AD">
      <w:pPr>
        <w:pStyle w:val="ListParagraph"/>
        <w:ind w:left="0"/>
        <w:jc w:val="both"/>
        <w:rPr>
          <w:sz w:val="24"/>
          <w:szCs w:val="24"/>
          <w:lang w:eastAsia="hr-HR"/>
        </w:rPr>
      </w:pPr>
      <w:r w:rsidRPr="00887F31">
        <w:rPr>
          <w:sz w:val="24"/>
          <w:szCs w:val="24"/>
          <w:lang w:eastAsia="hr-HR"/>
        </w:rPr>
        <w:t>NAPOMENE</w:t>
      </w:r>
    </w:p>
    <w:p w:rsidR="003264AD" w:rsidRPr="00887F31" w:rsidRDefault="003264AD" w:rsidP="003264AD">
      <w:pPr>
        <w:pStyle w:val="ListParagraph"/>
        <w:jc w:val="both"/>
        <w:rPr>
          <w:sz w:val="24"/>
          <w:szCs w:val="24"/>
          <w:lang w:eastAsia="hr-HR"/>
        </w:rPr>
      </w:pPr>
    </w:p>
    <w:p w:rsidR="003264AD" w:rsidRPr="00887F31" w:rsidRDefault="003264AD" w:rsidP="003264AD">
      <w:pPr>
        <w:pStyle w:val="ListParagraph"/>
        <w:ind w:left="0"/>
        <w:jc w:val="both"/>
        <w:rPr>
          <w:sz w:val="24"/>
          <w:szCs w:val="24"/>
          <w:lang w:eastAsia="hr-HR"/>
        </w:rPr>
      </w:pPr>
      <w:r w:rsidRPr="00887F31">
        <w:rPr>
          <w:sz w:val="24"/>
          <w:szCs w:val="24"/>
          <w:lang w:eastAsia="hr-HR"/>
        </w:rPr>
        <w:t>Ponude i predračuni ne predstavljaju prihvatljiv dokaz namjenski utrošenih sredstava</w:t>
      </w:r>
    </w:p>
    <w:p w:rsidR="003264AD" w:rsidRPr="00887F31" w:rsidRDefault="003264AD" w:rsidP="003264AD">
      <w:pPr>
        <w:pStyle w:val="ListParagraph"/>
        <w:ind w:left="0"/>
        <w:jc w:val="both"/>
        <w:rPr>
          <w:sz w:val="24"/>
          <w:szCs w:val="24"/>
          <w:lang w:eastAsia="hr-HR"/>
        </w:rPr>
      </w:pPr>
      <w:r w:rsidRPr="00887F31">
        <w:rPr>
          <w:sz w:val="24"/>
          <w:szCs w:val="24"/>
          <w:lang w:eastAsia="hr-HR"/>
        </w:rPr>
        <w:t>Nalog za plaćanje nije prihvatljiv kao dokaz o izvršenom plaćanju</w:t>
      </w:r>
    </w:p>
    <w:p w:rsidR="003264AD" w:rsidRPr="00887F31" w:rsidRDefault="003264AD" w:rsidP="003264AD">
      <w:pPr>
        <w:pStyle w:val="ListParagraph"/>
        <w:ind w:left="0"/>
        <w:jc w:val="both"/>
        <w:rPr>
          <w:sz w:val="24"/>
          <w:szCs w:val="24"/>
          <w:lang w:eastAsia="hr-HR"/>
        </w:rPr>
      </w:pPr>
      <w:r w:rsidRPr="00887F31">
        <w:rPr>
          <w:sz w:val="24"/>
          <w:szCs w:val="24"/>
          <w:lang w:eastAsia="hr-HR"/>
        </w:rPr>
        <w:lastRenderedPageBreak/>
        <w:t>Kompenzacija i cesija ne prihvaćaju se kao dokaz o izvršenom plaćanju</w:t>
      </w:r>
    </w:p>
    <w:p w:rsidR="003264AD" w:rsidRPr="00887F31" w:rsidRDefault="003264AD" w:rsidP="003264AD">
      <w:pPr>
        <w:pStyle w:val="ListParagraph"/>
        <w:ind w:left="0"/>
        <w:jc w:val="both"/>
        <w:rPr>
          <w:sz w:val="24"/>
          <w:szCs w:val="24"/>
          <w:lang w:eastAsia="hr-HR"/>
        </w:rPr>
      </w:pPr>
      <w:r w:rsidRPr="00887F31">
        <w:rPr>
          <w:sz w:val="24"/>
          <w:szCs w:val="24"/>
          <w:lang w:eastAsia="hr-HR"/>
        </w:rPr>
        <w:t>Korisnik svojim potpisom Ugovora pristaje na javnu objavu svojih podataka</w:t>
      </w:r>
    </w:p>
    <w:p w:rsidR="003264AD" w:rsidRPr="00887F31" w:rsidRDefault="003264AD" w:rsidP="003264AD">
      <w:pPr>
        <w:pStyle w:val="ListParagraph"/>
        <w:ind w:left="0"/>
        <w:jc w:val="both"/>
        <w:rPr>
          <w:sz w:val="24"/>
          <w:szCs w:val="24"/>
          <w:lang w:eastAsia="hr-HR"/>
        </w:rPr>
      </w:pPr>
      <w:r w:rsidRPr="00887F31">
        <w:rPr>
          <w:sz w:val="24"/>
          <w:szCs w:val="24"/>
          <w:lang w:eastAsia="hr-HR"/>
        </w:rPr>
        <w:t>Ministarstvo nema obavezu podsjećanja korisnika na rokove utvrđene ovim Programom i ugovorom</w:t>
      </w:r>
    </w:p>
    <w:p w:rsidR="003264AD" w:rsidRDefault="003264AD" w:rsidP="003264AD">
      <w:pPr>
        <w:pStyle w:val="ListParagraph"/>
        <w:jc w:val="both"/>
        <w:rPr>
          <w:sz w:val="24"/>
          <w:szCs w:val="24"/>
          <w:lang w:eastAsia="hr-HR"/>
        </w:rPr>
      </w:pPr>
    </w:p>
    <w:p w:rsidR="0027780B" w:rsidRDefault="0027780B" w:rsidP="003264AD">
      <w:pPr>
        <w:pStyle w:val="ListParagraph"/>
        <w:ind w:left="0"/>
        <w:jc w:val="both"/>
        <w:rPr>
          <w:sz w:val="24"/>
          <w:szCs w:val="24"/>
          <w:lang w:eastAsia="hr-HR"/>
        </w:rPr>
      </w:pPr>
    </w:p>
    <w:p w:rsidR="003264AD" w:rsidRPr="00887F31" w:rsidRDefault="003264AD" w:rsidP="003264AD">
      <w:pPr>
        <w:pStyle w:val="ListParagraph"/>
        <w:ind w:left="0"/>
        <w:jc w:val="both"/>
        <w:rPr>
          <w:sz w:val="24"/>
          <w:szCs w:val="24"/>
          <w:lang w:eastAsia="hr-HR"/>
        </w:rPr>
      </w:pPr>
      <w:r w:rsidRPr="00887F31">
        <w:rPr>
          <w:sz w:val="24"/>
          <w:szCs w:val="24"/>
          <w:lang w:eastAsia="hr-HR"/>
        </w:rPr>
        <w:t>NADZOR</w:t>
      </w:r>
    </w:p>
    <w:p w:rsidR="0027780B" w:rsidRDefault="0027780B" w:rsidP="003264AD">
      <w:pPr>
        <w:pStyle w:val="ListParagraph"/>
        <w:ind w:left="0"/>
        <w:jc w:val="both"/>
        <w:rPr>
          <w:sz w:val="24"/>
          <w:szCs w:val="24"/>
          <w:lang w:eastAsia="hr-HR"/>
        </w:rPr>
      </w:pPr>
    </w:p>
    <w:p w:rsidR="003264AD" w:rsidRPr="00887F31" w:rsidRDefault="003264AD" w:rsidP="003264AD">
      <w:pPr>
        <w:pStyle w:val="ListParagraph"/>
        <w:ind w:left="0"/>
        <w:jc w:val="both"/>
        <w:rPr>
          <w:sz w:val="24"/>
          <w:szCs w:val="24"/>
          <w:lang w:eastAsia="hr-HR"/>
        </w:rPr>
      </w:pPr>
      <w:r w:rsidRPr="00887F31">
        <w:rPr>
          <w:sz w:val="24"/>
          <w:szCs w:val="24"/>
          <w:lang w:eastAsia="hr-HR"/>
        </w:rPr>
        <w:t xml:space="preserve">Ministarstvo obavlja nadzor nad namjenskim korištenjem dodijeljenih sredstava putem dostavljenih pisanih izvješća kao što je propisano u dijelu Obveze korisnika te osobnim nadzorom predstavnika Ministarstva turizma. </w:t>
      </w:r>
    </w:p>
    <w:p w:rsidR="003264AD" w:rsidRPr="00887F31" w:rsidRDefault="003264AD" w:rsidP="003264AD">
      <w:pPr>
        <w:pStyle w:val="ListParagraph"/>
        <w:jc w:val="both"/>
        <w:rPr>
          <w:sz w:val="24"/>
          <w:szCs w:val="24"/>
          <w:lang w:eastAsia="hr-HR"/>
        </w:rPr>
      </w:pPr>
    </w:p>
    <w:p w:rsidR="003264AD" w:rsidRPr="00887F31" w:rsidRDefault="003264AD" w:rsidP="003264AD">
      <w:pPr>
        <w:pStyle w:val="ListParagraph"/>
        <w:ind w:left="0"/>
        <w:jc w:val="both"/>
        <w:rPr>
          <w:sz w:val="24"/>
          <w:szCs w:val="24"/>
          <w:lang w:eastAsia="hr-HR"/>
        </w:rPr>
      </w:pPr>
      <w:r w:rsidRPr="00887F31">
        <w:rPr>
          <w:sz w:val="24"/>
          <w:szCs w:val="24"/>
          <w:lang w:eastAsia="hr-HR"/>
        </w:rPr>
        <w:t>Po dostavi Izvješća o namjenskom utrošku sredstava državne potpore, Minista</w:t>
      </w:r>
      <w:r>
        <w:rPr>
          <w:sz w:val="24"/>
          <w:szCs w:val="24"/>
          <w:lang w:eastAsia="hr-HR"/>
        </w:rPr>
        <w:t xml:space="preserve">rstvo nakon obavljenog  nadzora </w:t>
      </w:r>
      <w:r w:rsidRPr="00887F31">
        <w:rPr>
          <w:sz w:val="24"/>
          <w:szCs w:val="24"/>
          <w:lang w:eastAsia="hr-HR"/>
        </w:rPr>
        <w:t>ima pravo tražiti povrat sredstava i prije krajnjeg propisanog roka ukoliko ocijeni da odobrena sredstva neće biti namjenski utrošena u zadanom roku, ili utvrdi nepravilnosti u namjenskom trošenju sredstava.</w:t>
      </w:r>
    </w:p>
    <w:p w:rsidR="003264AD" w:rsidRPr="00887F31" w:rsidRDefault="003264AD" w:rsidP="003264AD">
      <w:pPr>
        <w:pStyle w:val="ListParagraph"/>
        <w:jc w:val="both"/>
        <w:rPr>
          <w:sz w:val="24"/>
          <w:szCs w:val="24"/>
          <w:lang w:eastAsia="hr-HR"/>
        </w:rPr>
      </w:pPr>
    </w:p>
    <w:p w:rsidR="0027780B" w:rsidRDefault="0027780B" w:rsidP="003264AD">
      <w:pPr>
        <w:pStyle w:val="ListParagraph"/>
        <w:ind w:left="0"/>
        <w:rPr>
          <w:sz w:val="24"/>
          <w:szCs w:val="24"/>
          <w:lang w:eastAsia="hr-HR"/>
        </w:rPr>
      </w:pPr>
    </w:p>
    <w:p w:rsidR="003264AD" w:rsidRPr="00887F31" w:rsidRDefault="003264AD" w:rsidP="003264AD">
      <w:pPr>
        <w:pStyle w:val="ListParagraph"/>
        <w:ind w:left="0"/>
        <w:rPr>
          <w:sz w:val="24"/>
          <w:szCs w:val="24"/>
          <w:lang w:eastAsia="hr-HR"/>
        </w:rPr>
      </w:pPr>
      <w:r w:rsidRPr="00887F31">
        <w:rPr>
          <w:sz w:val="24"/>
          <w:szCs w:val="24"/>
          <w:lang w:eastAsia="hr-HR"/>
        </w:rPr>
        <w:t>OBVEZE KORISNIKA</w:t>
      </w:r>
    </w:p>
    <w:p w:rsidR="003264AD" w:rsidRPr="00887F31" w:rsidRDefault="003264AD" w:rsidP="003264AD">
      <w:pPr>
        <w:pStyle w:val="ListParagraph"/>
        <w:ind w:left="0"/>
        <w:rPr>
          <w:sz w:val="24"/>
          <w:szCs w:val="24"/>
          <w:lang w:eastAsia="hr-HR"/>
        </w:rPr>
      </w:pPr>
    </w:p>
    <w:p w:rsidR="003264AD" w:rsidRPr="00887F31" w:rsidRDefault="003264AD" w:rsidP="003264AD">
      <w:pPr>
        <w:numPr>
          <w:ilvl w:val="0"/>
          <w:numId w:val="5"/>
        </w:numPr>
        <w:jc w:val="both"/>
        <w:rPr>
          <w:rFonts w:ascii="Calibri" w:hAnsi="Calibri"/>
        </w:rPr>
      </w:pPr>
      <w:r w:rsidRPr="00887F31">
        <w:rPr>
          <w:rFonts w:ascii="Calibri" w:hAnsi="Calibri"/>
        </w:rPr>
        <w:t xml:space="preserve">Korisnik kojemu je odobrena potpora dužan je dostaviti potpisani ugovor i </w:t>
      </w:r>
      <w:proofErr w:type="spellStart"/>
      <w:r w:rsidRPr="00887F31">
        <w:rPr>
          <w:rFonts w:ascii="Calibri" w:hAnsi="Calibri"/>
        </w:rPr>
        <w:t>solemniziranu</w:t>
      </w:r>
      <w:proofErr w:type="spellEnd"/>
      <w:r w:rsidRPr="00887F31">
        <w:rPr>
          <w:rFonts w:ascii="Calibri" w:hAnsi="Calibri"/>
        </w:rPr>
        <w:t xml:space="preserve"> bjanko zadužnicu na adresu Ministarstva u roku od </w:t>
      </w:r>
      <w:r w:rsidRPr="00887F31">
        <w:rPr>
          <w:rFonts w:ascii="Calibri" w:hAnsi="Calibri"/>
          <w:b/>
          <w:bCs/>
        </w:rPr>
        <w:t>8 dana od dana primitka ugovora</w:t>
      </w:r>
      <w:r w:rsidRPr="00887F31">
        <w:rPr>
          <w:rFonts w:ascii="Calibri" w:hAnsi="Calibri"/>
        </w:rPr>
        <w:t xml:space="preserve">. </w:t>
      </w:r>
      <w:r w:rsidRPr="00887F31">
        <w:rPr>
          <w:rFonts w:ascii="Calibri" w:hAnsi="Calibri"/>
          <w:b/>
          <w:bCs/>
        </w:rPr>
        <w:t xml:space="preserve">Ukoliko korisnik ne dostavi potpisani ugovor i zadužnicu u zadanom roku, smatrat će se da je odustao od dodijeljene bespovratne potpore. </w:t>
      </w:r>
      <w:r w:rsidRPr="00887F31">
        <w:rPr>
          <w:rFonts w:ascii="Calibri" w:hAnsi="Calibri"/>
        </w:rPr>
        <w:t xml:space="preserve">Vrijednost zadužnice mora biti </w:t>
      </w:r>
      <w:proofErr w:type="spellStart"/>
      <w:r w:rsidRPr="00887F31">
        <w:rPr>
          <w:rFonts w:ascii="Calibri" w:hAnsi="Calibri"/>
        </w:rPr>
        <w:t>solemnizirana</w:t>
      </w:r>
      <w:proofErr w:type="spellEnd"/>
      <w:r w:rsidRPr="00887F31">
        <w:rPr>
          <w:rFonts w:ascii="Calibri" w:hAnsi="Calibri"/>
        </w:rPr>
        <w:t xml:space="preserve"> na prvi propisani sljedeći veći iznos od iznosa odobrene potpore</w:t>
      </w:r>
    </w:p>
    <w:p w:rsidR="003264AD" w:rsidRPr="00887F31" w:rsidRDefault="003264AD" w:rsidP="003264AD">
      <w:pPr>
        <w:numPr>
          <w:ilvl w:val="0"/>
          <w:numId w:val="5"/>
        </w:numPr>
        <w:jc w:val="both"/>
        <w:rPr>
          <w:rFonts w:ascii="Calibri" w:hAnsi="Calibri"/>
        </w:rPr>
      </w:pPr>
      <w:r w:rsidRPr="00887F31">
        <w:rPr>
          <w:rFonts w:ascii="Calibri" w:hAnsi="Calibri"/>
        </w:rPr>
        <w:t xml:space="preserve">Najkasnije 6 mjeseci od datuma potpisivanja Ugovora o dodjeli bespovratnih sredstava korisnik je dužan Ministarstvu dostaviti popunjeni obrazac </w:t>
      </w:r>
      <w:r w:rsidRPr="00887F31">
        <w:rPr>
          <w:rFonts w:ascii="Calibri" w:hAnsi="Calibri"/>
          <w:i/>
          <w:iCs/>
        </w:rPr>
        <w:t xml:space="preserve">Izvješće o namjenskom utrošku sredstava državne potpore </w:t>
      </w:r>
      <w:r w:rsidRPr="00887F31">
        <w:rPr>
          <w:rFonts w:ascii="Calibri" w:hAnsi="Calibri"/>
        </w:rPr>
        <w:t>s pratećom dokumentacijom koja potvrđuje navode u izvješću i dokaze: račune i izvode s bankovnog žiro računa kojima se dokazuje izvršeno plaćanje, foto-dokumentaciju izvršenih radova i drugu dokumentaciju sukladno naravi projekta te dokaz o opravdanosti izvođenja projekta sukladno ciljevima programa</w:t>
      </w:r>
    </w:p>
    <w:p w:rsidR="003264AD" w:rsidRPr="00887F31" w:rsidRDefault="003264AD" w:rsidP="003264AD">
      <w:pPr>
        <w:numPr>
          <w:ilvl w:val="0"/>
          <w:numId w:val="5"/>
        </w:numPr>
        <w:jc w:val="both"/>
        <w:rPr>
          <w:rFonts w:ascii="Calibri" w:hAnsi="Calibri"/>
        </w:rPr>
      </w:pPr>
      <w:r w:rsidRPr="00887F31">
        <w:rPr>
          <w:rFonts w:ascii="Calibri" w:hAnsi="Calibri"/>
        </w:rPr>
        <w:t xml:space="preserve">Ako je korisnik realizirao projekt i stavio ga u funkciju turizma prije isteka 6 mjeseci od potpisivanja ugovora dužan je dostaviti samo </w:t>
      </w:r>
      <w:r w:rsidRPr="00887F31">
        <w:rPr>
          <w:rFonts w:ascii="Calibri" w:hAnsi="Calibri"/>
          <w:i/>
          <w:iCs/>
        </w:rPr>
        <w:t>Konačno izvješće o završetku cjelokupnog prijavljenog projekta i izjavu o stavljanju projekta u funkciju turizma.</w:t>
      </w:r>
    </w:p>
    <w:p w:rsidR="003264AD" w:rsidRPr="00887F31" w:rsidRDefault="003264AD" w:rsidP="003264AD">
      <w:pPr>
        <w:numPr>
          <w:ilvl w:val="0"/>
          <w:numId w:val="5"/>
        </w:numPr>
        <w:jc w:val="both"/>
        <w:rPr>
          <w:rFonts w:ascii="Calibri" w:hAnsi="Calibri"/>
        </w:rPr>
      </w:pPr>
      <w:r w:rsidRPr="00887F31">
        <w:rPr>
          <w:rFonts w:ascii="Calibri" w:hAnsi="Calibri"/>
        </w:rPr>
        <w:t xml:space="preserve">Obveza korisnika je da projektni prijedlog na temelju kojeg su mu odobrena bespovratna sredstva provede u cijelosti i da ga u roku od najkasnije 12 mjeseci (365+1 dan) od dana potpisivanja ugovora stavi u funkciju turizma te dostavi Ministarstvu popunjeni obrazac </w:t>
      </w:r>
      <w:r w:rsidRPr="00887F31">
        <w:rPr>
          <w:rFonts w:ascii="Calibri" w:hAnsi="Calibri"/>
          <w:i/>
          <w:iCs/>
        </w:rPr>
        <w:t>Konačno izvješće o završetku cjelokupnog prijavljenog projekta i izjava o stavljanju projekta  u funkciju turizma,</w:t>
      </w:r>
      <w:r w:rsidRPr="00887F31">
        <w:rPr>
          <w:rFonts w:ascii="Calibri" w:hAnsi="Calibri"/>
        </w:rPr>
        <w:t xml:space="preserve"> te dostavi sve potrebne dokaze o realizaciji projekta, sukladno uvjetima iz projektnih aktivnosti namjene bespovratnih sredstava</w:t>
      </w:r>
    </w:p>
    <w:p w:rsidR="003264AD" w:rsidRPr="00DA6575" w:rsidRDefault="003264AD" w:rsidP="003264AD">
      <w:pPr>
        <w:numPr>
          <w:ilvl w:val="0"/>
          <w:numId w:val="5"/>
        </w:numPr>
        <w:jc w:val="both"/>
        <w:rPr>
          <w:rFonts w:ascii="Calibri" w:hAnsi="Calibri"/>
        </w:rPr>
      </w:pPr>
      <w:r w:rsidRPr="00887F31">
        <w:rPr>
          <w:rFonts w:ascii="Calibri" w:hAnsi="Calibri"/>
        </w:rPr>
        <w:t xml:space="preserve">Izuzetak od prethodne stavke je Konačno izvješće za Mjeru C, koje mora sadržavati dokaze o uplaćenoj članarini predmetnoj međunarodnoj asocijaciji ili dokaz o izvršenim aktivnostima realizacije skupa/foruma, </w:t>
      </w:r>
      <w:r w:rsidRPr="00DA6575">
        <w:rPr>
          <w:rFonts w:ascii="Calibri" w:hAnsi="Calibri"/>
        </w:rPr>
        <w:t>te za Mjeru B – aktivnost vezana za paket aranžmane koja će se pratiti do kraja 2017. godine.</w:t>
      </w:r>
    </w:p>
    <w:p w:rsidR="003264AD" w:rsidRPr="00887F31" w:rsidRDefault="003264AD" w:rsidP="003264AD">
      <w:pPr>
        <w:numPr>
          <w:ilvl w:val="0"/>
          <w:numId w:val="5"/>
        </w:numPr>
        <w:jc w:val="both"/>
        <w:rPr>
          <w:rFonts w:ascii="Calibri" w:hAnsi="Calibri"/>
        </w:rPr>
      </w:pPr>
      <w:r w:rsidRPr="00887F31">
        <w:rPr>
          <w:rFonts w:ascii="Calibri" w:hAnsi="Calibri"/>
          <w:color w:val="000000"/>
        </w:rPr>
        <w:lastRenderedPageBreak/>
        <w:t xml:space="preserve">U slučaju utvrđivanja okolnosti koje utječu na nemogućnost dostave </w:t>
      </w:r>
      <w:r w:rsidRPr="00887F31">
        <w:rPr>
          <w:rFonts w:ascii="Calibri" w:hAnsi="Calibri"/>
          <w:i/>
          <w:iCs/>
          <w:color w:val="000000"/>
        </w:rPr>
        <w:t xml:space="preserve">Konačnog izvješća o završetku cjelokupnog prijavljenog projekta i izjave o stavljanju projekta u funkciju turizma </w:t>
      </w:r>
      <w:r w:rsidRPr="00887F31">
        <w:rPr>
          <w:rFonts w:ascii="Calibri" w:hAnsi="Calibri"/>
          <w:color w:val="000000"/>
        </w:rPr>
        <w:t xml:space="preserve">u propisanom roku, </w:t>
      </w:r>
      <w:r w:rsidRPr="00887F31">
        <w:rPr>
          <w:rFonts w:ascii="Calibri" w:hAnsi="Calibri"/>
          <w:b/>
          <w:bCs/>
          <w:color w:val="000000"/>
        </w:rPr>
        <w:t>korisnik sredstava dužan je odmah nakon utvrđivanja više sile i/ili okolnosti, a najkasnije 30 dana prije roka za podnošenje Konačnog izvješća, pisanim putem o tome obavijestiti Ministarstvo</w:t>
      </w:r>
      <w:r w:rsidRPr="00887F31">
        <w:rPr>
          <w:rFonts w:ascii="Calibri" w:hAnsi="Calibri"/>
          <w:color w:val="000000"/>
        </w:rPr>
        <w:t>. Ako pravovremeno ne obavijesti Ministarstvo, ugovor će se smatrati raskinutim te će se donijeti odluka o raskidu ugovora i povratu sredstava</w:t>
      </w:r>
    </w:p>
    <w:p w:rsidR="003264AD" w:rsidRPr="00887F31" w:rsidRDefault="003264AD" w:rsidP="003264AD">
      <w:pPr>
        <w:numPr>
          <w:ilvl w:val="0"/>
          <w:numId w:val="5"/>
        </w:numPr>
        <w:jc w:val="both"/>
        <w:rPr>
          <w:rFonts w:ascii="Calibri" w:hAnsi="Calibri"/>
        </w:rPr>
      </w:pPr>
      <w:r w:rsidRPr="00887F31">
        <w:rPr>
          <w:rFonts w:ascii="Calibri" w:hAnsi="Calibri"/>
        </w:rPr>
        <w:t>Na zahtjev Ministarstva korisnik je dužan pružiti na uvid i dodatnu naknadno zatraženu dokumentaciju</w:t>
      </w:r>
    </w:p>
    <w:p w:rsidR="003264AD" w:rsidRPr="00887F31" w:rsidRDefault="003264AD" w:rsidP="003264AD">
      <w:pPr>
        <w:numPr>
          <w:ilvl w:val="0"/>
          <w:numId w:val="5"/>
        </w:numPr>
        <w:jc w:val="both"/>
        <w:rPr>
          <w:rFonts w:ascii="Calibri" w:hAnsi="Calibri"/>
          <w:b/>
          <w:bCs/>
        </w:rPr>
      </w:pPr>
      <w:r w:rsidRPr="00887F31">
        <w:rPr>
          <w:rFonts w:ascii="Calibri" w:hAnsi="Calibri"/>
          <w:b/>
          <w:bCs/>
          <w:color w:val="000000"/>
        </w:rPr>
        <w:t xml:space="preserve">Nepoštivanje bilo kojeg od ugovorenih rokova smatrat će se povredom ugovora, Ministarstvo će donijeti odluku o raskidu Ugovora te će korisnik sredstava biti dužan vratiti dodijeljena sredstva </w:t>
      </w:r>
    </w:p>
    <w:p w:rsidR="003264AD" w:rsidRPr="00887F31" w:rsidRDefault="003264AD" w:rsidP="003264AD">
      <w:pPr>
        <w:pStyle w:val="ListParagraph"/>
        <w:numPr>
          <w:ilvl w:val="0"/>
          <w:numId w:val="5"/>
        </w:numPr>
        <w:jc w:val="both"/>
        <w:rPr>
          <w:sz w:val="24"/>
          <w:szCs w:val="24"/>
        </w:rPr>
      </w:pPr>
      <w:r w:rsidRPr="00887F31">
        <w:rPr>
          <w:color w:val="000000"/>
          <w:sz w:val="24"/>
          <w:szCs w:val="24"/>
        </w:rPr>
        <w:t>U slučaju utvrđivanja nepravilnosti u korištenju odobrenih sredstava i/ili nepoštivanja bilo koj</w:t>
      </w:r>
      <w:r>
        <w:rPr>
          <w:color w:val="000000"/>
          <w:sz w:val="24"/>
          <w:szCs w:val="24"/>
        </w:rPr>
        <w:t xml:space="preserve">eg od propisanih rokova </w:t>
      </w:r>
      <w:r w:rsidRPr="00887F31">
        <w:rPr>
          <w:color w:val="000000"/>
          <w:sz w:val="24"/>
          <w:szCs w:val="24"/>
        </w:rPr>
        <w:t xml:space="preserve">Ministarstvo donosi Odluku o povratu sredstava, koje je korisnik dužan vratiti u roku od 15 dana od dana </w:t>
      </w:r>
      <w:r w:rsidRPr="00887F31">
        <w:rPr>
          <w:sz w:val="24"/>
          <w:szCs w:val="24"/>
        </w:rPr>
        <w:t xml:space="preserve">primitka </w:t>
      </w:r>
      <w:r w:rsidRPr="00887F31">
        <w:rPr>
          <w:color w:val="000000"/>
          <w:sz w:val="24"/>
          <w:szCs w:val="24"/>
        </w:rPr>
        <w:t xml:space="preserve">Odluke. </w:t>
      </w:r>
      <w:r w:rsidRPr="00887F31">
        <w:rPr>
          <w:sz w:val="24"/>
          <w:szCs w:val="24"/>
        </w:rPr>
        <w:t>Ako dostava Odluke ne uspije na adresu korisnika, Odluka će se objaviti na internetskoj stranici Ministarstva, pri čemu će se smatrati da je dostava izvršena istekom osmog dana od dana objave</w:t>
      </w:r>
    </w:p>
    <w:p w:rsidR="003264AD" w:rsidRPr="00887F31" w:rsidRDefault="003264AD" w:rsidP="003264AD">
      <w:pPr>
        <w:pStyle w:val="ListParagraph"/>
        <w:numPr>
          <w:ilvl w:val="0"/>
          <w:numId w:val="5"/>
        </w:numPr>
        <w:jc w:val="both"/>
        <w:rPr>
          <w:sz w:val="24"/>
          <w:szCs w:val="24"/>
        </w:rPr>
      </w:pPr>
      <w:r w:rsidRPr="00887F31">
        <w:rPr>
          <w:sz w:val="24"/>
          <w:szCs w:val="24"/>
        </w:rPr>
        <w:t>Ako korisnik ne izvrši sve obveze preuzete Ugovorom, Prijavnim obrascem, ovim Programom i dokumentacijom koja je sastavni dio ovog Programa te nakon toga ne izvrši povrat nenamjenski, odnosno neopravdano iskorištenih sredstava, Ministarstvo će podnijeti bjanko zadužnicu na prisilnu naplatu.</w:t>
      </w:r>
    </w:p>
    <w:p w:rsidR="003264AD" w:rsidRPr="00887F31" w:rsidRDefault="003264AD" w:rsidP="003264AD">
      <w:pPr>
        <w:pStyle w:val="ListParagraph"/>
        <w:jc w:val="both"/>
        <w:rPr>
          <w:sz w:val="24"/>
          <w:szCs w:val="24"/>
        </w:rPr>
      </w:pPr>
    </w:p>
    <w:p w:rsidR="0027780B" w:rsidRDefault="0027780B" w:rsidP="003264AD">
      <w:pPr>
        <w:pStyle w:val="ListParagraph"/>
        <w:ind w:left="0"/>
        <w:rPr>
          <w:sz w:val="24"/>
          <w:szCs w:val="24"/>
          <w:lang w:eastAsia="hr-HR"/>
        </w:rPr>
      </w:pPr>
    </w:p>
    <w:p w:rsidR="003264AD" w:rsidRPr="00887F31" w:rsidRDefault="003264AD" w:rsidP="003264AD">
      <w:pPr>
        <w:pStyle w:val="ListParagraph"/>
        <w:ind w:left="0"/>
        <w:rPr>
          <w:sz w:val="24"/>
          <w:szCs w:val="24"/>
          <w:lang w:eastAsia="hr-HR"/>
        </w:rPr>
      </w:pPr>
      <w:r w:rsidRPr="00887F31">
        <w:rPr>
          <w:sz w:val="24"/>
          <w:szCs w:val="24"/>
          <w:lang w:eastAsia="hr-HR"/>
        </w:rPr>
        <w:t>ZAVRŠNE ODREDBE</w:t>
      </w:r>
    </w:p>
    <w:p w:rsidR="003264AD" w:rsidRPr="00887F31" w:rsidRDefault="003264AD" w:rsidP="003264AD">
      <w:pPr>
        <w:pStyle w:val="ListParagraph"/>
        <w:rPr>
          <w:color w:val="000000"/>
          <w:sz w:val="24"/>
          <w:szCs w:val="24"/>
          <w:lang w:eastAsia="hr-HR"/>
        </w:rPr>
      </w:pPr>
    </w:p>
    <w:p w:rsidR="003264AD" w:rsidRPr="00887F31" w:rsidRDefault="003264AD" w:rsidP="000102B4">
      <w:pPr>
        <w:pStyle w:val="ListParagraph"/>
        <w:ind w:left="0"/>
        <w:jc w:val="both"/>
        <w:rPr>
          <w:sz w:val="24"/>
          <w:szCs w:val="24"/>
          <w:lang w:eastAsia="hr-HR"/>
        </w:rPr>
      </w:pPr>
      <w:r w:rsidRPr="00887F31">
        <w:rPr>
          <w:sz w:val="24"/>
          <w:szCs w:val="24"/>
          <w:lang w:eastAsia="hr-HR"/>
        </w:rPr>
        <w:t>Tijekom provedbe Programa Ministarstvo zadržava pravo izmjena i dopuna Programa, a posebno za pojedine projekte, ako to ocjeni potrebnim, što će odrediti ugovorom ili aneksom ugovora.</w:t>
      </w:r>
    </w:p>
    <w:p w:rsidR="003264AD" w:rsidRPr="00887F31" w:rsidRDefault="003264AD" w:rsidP="003264AD">
      <w:pPr>
        <w:pStyle w:val="ListParagraph"/>
        <w:rPr>
          <w:sz w:val="24"/>
          <w:szCs w:val="24"/>
          <w:lang w:eastAsia="hr-HR"/>
        </w:rPr>
      </w:pPr>
    </w:p>
    <w:p w:rsidR="0027780B" w:rsidRDefault="0027780B" w:rsidP="003264AD">
      <w:pPr>
        <w:pStyle w:val="ListParagraph"/>
        <w:jc w:val="right"/>
        <w:rPr>
          <w:sz w:val="24"/>
          <w:szCs w:val="24"/>
          <w:lang w:eastAsia="hr-HR"/>
        </w:rPr>
      </w:pPr>
    </w:p>
    <w:p w:rsidR="003264AD" w:rsidRPr="00887F31" w:rsidRDefault="003264AD" w:rsidP="003264AD">
      <w:pPr>
        <w:pStyle w:val="ListParagraph"/>
        <w:jc w:val="right"/>
        <w:rPr>
          <w:sz w:val="24"/>
          <w:szCs w:val="24"/>
          <w:lang w:eastAsia="hr-HR"/>
        </w:rPr>
      </w:pPr>
      <w:r w:rsidRPr="00887F31">
        <w:rPr>
          <w:sz w:val="24"/>
          <w:szCs w:val="24"/>
          <w:lang w:eastAsia="hr-HR"/>
        </w:rPr>
        <w:t>M I N I S T A R</w:t>
      </w:r>
    </w:p>
    <w:p w:rsidR="003264AD" w:rsidRPr="00887F31" w:rsidRDefault="003264AD" w:rsidP="003264AD">
      <w:pPr>
        <w:pStyle w:val="ListParagraph"/>
        <w:jc w:val="right"/>
        <w:rPr>
          <w:sz w:val="24"/>
          <w:szCs w:val="24"/>
          <w:lang w:eastAsia="hr-HR"/>
        </w:rPr>
      </w:pPr>
    </w:p>
    <w:p w:rsidR="003264AD" w:rsidRPr="00887F31" w:rsidRDefault="003264AD" w:rsidP="003264AD">
      <w:pPr>
        <w:pStyle w:val="ListParagraph"/>
        <w:jc w:val="right"/>
        <w:rPr>
          <w:sz w:val="24"/>
          <w:szCs w:val="24"/>
          <w:lang w:eastAsia="hr-HR"/>
        </w:rPr>
      </w:pPr>
      <w:r w:rsidRPr="00887F31">
        <w:rPr>
          <w:sz w:val="24"/>
          <w:szCs w:val="24"/>
          <w:lang w:eastAsia="hr-HR"/>
        </w:rPr>
        <w:t xml:space="preserve">Darko </w:t>
      </w:r>
      <w:proofErr w:type="spellStart"/>
      <w:r w:rsidRPr="00887F31">
        <w:rPr>
          <w:sz w:val="24"/>
          <w:szCs w:val="24"/>
          <w:lang w:eastAsia="hr-HR"/>
        </w:rPr>
        <w:t>Lorencin</w:t>
      </w:r>
      <w:proofErr w:type="spellEnd"/>
    </w:p>
    <w:p w:rsidR="003264AD" w:rsidRPr="00887F31" w:rsidRDefault="003264AD" w:rsidP="003264AD">
      <w:pPr>
        <w:pStyle w:val="ListParagraph"/>
        <w:rPr>
          <w:sz w:val="24"/>
          <w:szCs w:val="24"/>
          <w:lang w:eastAsia="hr-HR"/>
        </w:rPr>
      </w:pPr>
    </w:p>
    <w:p w:rsidR="003264AD" w:rsidRPr="003264AD" w:rsidRDefault="003264AD" w:rsidP="003264AD">
      <w:pPr>
        <w:pStyle w:val="ListParagraph"/>
        <w:rPr>
          <w:sz w:val="24"/>
          <w:szCs w:val="24"/>
        </w:rPr>
      </w:pPr>
      <w:r w:rsidRPr="003264AD">
        <w:rPr>
          <w:sz w:val="24"/>
          <w:szCs w:val="24"/>
        </w:rPr>
        <w:t>KLASA: 334-05/15-10/1</w:t>
      </w:r>
    </w:p>
    <w:p w:rsidR="003264AD" w:rsidRPr="003264AD" w:rsidRDefault="003264AD" w:rsidP="003264AD">
      <w:pPr>
        <w:pStyle w:val="ListParagraph"/>
        <w:rPr>
          <w:sz w:val="24"/>
          <w:szCs w:val="24"/>
        </w:rPr>
      </w:pPr>
      <w:r w:rsidRPr="003264AD">
        <w:rPr>
          <w:sz w:val="24"/>
          <w:szCs w:val="24"/>
        </w:rPr>
        <w:t>URBROJ: 529-04-15-1</w:t>
      </w:r>
    </w:p>
    <w:p w:rsidR="003264AD" w:rsidRPr="00887F31" w:rsidRDefault="003264AD" w:rsidP="003264AD">
      <w:pPr>
        <w:pStyle w:val="ListParagraph"/>
        <w:rPr>
          <w:color w:val="000000"/>
          <w:sz w:val="24"/>
          <w:szCs w:val="24"/>
        </w:rPr>
      </w:pPr>
      <w:r w:rsidRPr="003264AD">
        <w:rPr>
          <w:sz w:val="24"/>
          <w:szCs w:val="24"/>
        </w:rPr>
        <w:t>Zagreb, 1</w:t>
      </w:r>
      <w:r w:rsidR="003957B6">
        <w:rPr>
          <w:sz w:val="24"/>
          <w:szCs w:val="24"/>
        </w:rPr>
        <w:t>9</w:t>
      </w:r>
      <w:r w:rsidRPr="003264AD">
        <w:rPr>
          <w:sz w:val="24"/>
          <w:szCs w:val="24"/>
        </w:rPr>
        <w:t>. veljače 2015.</w:t>
      </w:r>
      <w:r w:rsidRPr="00887F31">
        <w:rPr>
          <w:sz w:val="24"/>
          <w:szCs w:val="24"/>
          <w:lang w:eastAsia="hr-HR"/>
        </w:rPr>
        <w:t xml:space="preserve"> </w:t>
      </w:r>
    </w:p>
    <w:p w:rsidR="003264AD" w:rsidRPr="00887F31" w:rsidRDefault="003264AD" w:rsidP="003264AD">
      <w:pPr>
        <w:rPr>
          <w:color w:val="000000"/>
        </w:rPr>
      </w:pPr>
    </w:p>
    <w:sectPr w:rsidR="003264AD" w:rsidRPr="00887F31" w:rsidSect="0027780B">
      <w:footerReference w:type="default" r:id="rId14"/>
      <w:pgSz w:w="11906" w:h="16838" w:code="9"/>
      <w:pgMar w:top="1418" w:right="1418" w:bottom="1418" w:left="1418"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90" w:rsidRDefault="00DE6A90" w:rsidP="00020D38">
      <w:r>
        <w:separator/>
      </w:r>
    </w:p>
  </w:endnote>
  <w:endnote w:type="continuationSeparator" w:id="0">
    <w:p w:rsidR="00DE6A90" w:rsidRDefault="00DE6A90" w:rsidP="0002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rolinaBar-B39-25F2">
    <w:altName w:val="Trebuchet MS"/>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25349"/>
      <w:docPartObj>
        <w:docPartGallery w:val="Page Numbers (Bottom of Page)"/>
        <w:docPartUnique/>
      </w:docPartObj>
    </w:sdtPr>
    <w:sdtEndPr>
      <w:rPr>
        <w:rFonts w:ascii="Verdana" w:hAnsi="Verdana"/>
        <w:sz w:val="16"/>
        <w:szCs w:val="16"/>
      </w:rPr>
    </w:sdtEndPr>
    <w:sdtContent>
      <w:p w:rsidR="00020D38" w:rsidRPr="00020D38" w:rsidRDefault="00020D38">
        <w:pPr>
          <w:pStyle w:val="Footer"/>
          <w:jc w:val="right"/>
          <w:rPr>
            <w:rFonts w:ascii="Verdana" w:hAnsi="Verdana"/>
            <w:sz w:val="16"/>
            <w:szCs w:val="16"/>
          </w:rPr>
        </w:pPr>
        <w:r w:rsidRPr="00020D38">
          <w:rPr>
            <w:rFonts w:ascii="Verdana" w:hAnsi="Verdana"/>
            <w:sz w:val="16"/>
            <w:szCs w:val="16"/>
          </w:rPr>
          <w:fldChar w:fldCharType="begin"/>
        </w:r>
        <w:r w:rsidRPr="00020D38">
          <w:rPr>
            <w:rFonts w:ascii="Verdana" w:hAnsi="Verdana"/>
            <w:sz w:val="16"/>
            <w:szCs w:val="16"/>
          </w:rPr>
          <w:instrText>PAGE   \* MERGEFORMAT</w:instrText>
        </w:r>
        <w:r w:rsidRPr="00020D38">
          <w:rPr>
            <w:rFonts w:ascii="Verdana" w:hAnsi="Verdana"/>
            <w:sz w:val="16"/>
            <w:szCs w:val="16"/>
          </w:rPr>
          <w:fldChar w:fldCharType="separate"/>
        </w:r>
        <w:r>
          <w:rPr>
            <w:rFonts w:ascii="Verdana" w:hAnsi="Verdana"/>
            <w:noProof/>
            <w:sz w:val="16"/>
            <w:szCs w:val="16"/>
          </w:rPr>
          <w:t>11</w:t>
        </w:r>
        <w:r w:rsidRPr="00020D38">
          <w:rPr>
            <w:rFonts w:ascii="Verdana" w:hAnsi="Verdana"/>
            <w:sz w:val="16"/>
            <w:szCs w:val="16"/>
          </w:rPr>
          <w:fldChar w:fldCharType="end"/>
        </w:r>
      </w:p>
    </w:sdtContent>
  </w:sdt>
  <w:p w:rsidR="00020D38" w:rsidRDefault="00020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90" w:rsidRDefault="00DE6A90" w:rsidP="00020D38">
      <w:r>
        <w:separator/>
      </w:r>
    </w:p>
  </w:footnote>
  <w:footnote w:type="continuationSeparator" w:id="0">
    <w:p w:rsidR="00DE6A90" w:rsidRDefault="00DE6A90" w:rsidP="00020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D"/>
    <w:multiLevelType w:val="hybridMultilevel"/>
    <w:tmpl w:val="D78A6B44"/>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
    <w:nsid w:val="16BF6151"/>
    <w:multiLevelType w:val="hybridMultilevel"/>
    <w:tmpl w:val="4B627EA6"/>
    <w:lvl w:ilvl="0" w:tplc="9A7280C8">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16D11390"/>
    <w:multiLevelType w:val="hybridMultilevel"/>
    <w:tmpl w:val="29C612E8"/>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27DB48DE"/>
    <w:multiLevelType w:val="hybridMultilevel"/>
    <w:tmpl w:val="3BB4F9CA"/>
    <w:lvl w:ilvl="0" w:tplc="9A7280C8">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28242FE1"/>
    <w:multiLevelType w:val="hybridMultilevel"/>
    <w:tmpl w:val="73B08B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E2C017D"/>
    <w:multiLevelType w:val="hybridMultilevel"/>
    <w:tmpl w:val="6B82CC14"/>
    <w:lvl w:ilvl="0" w:tplc="9A7280C8">
      <w:numFmt w:val="bullet"/>
      <w:lvlText w:val="-"/>
      <w:lvlJc w:val="left"/>
      <w:pPr>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nsid w:val="31CE6254"/>
    <w:multiLevelType w:val="hybridMultilevel"/>
    <w:tmpl w:val="10FCF9F2"/>
    <w:lvl w:ilvl="0" w:tplc="041A0011">
      <w:start w:val="1"/>
      <w:numFmt w:val="decimal"/>
      <w:lvlText w:val="%1)"/>
      <w:lvlJc w:val="left"/>
      <w:pPr>
        <w:tabs>
          <w:tab w:val="num" w:pos="720"/>
        </w:tabs>
        <w:ind w:left="720" w:hanging="360"/>
      </w:pPr>
    </w:lvl>
    <w:lvl w:ilvl="1" w:tplc="041A0019">
      <w:start w:val="1"/>
      <w:numFmt w:val="lowerLetter"/>
      <w:lvlText w:val="%2."/>
      <w:lvlJc w:val="left"/>
      <w:pPr>
        <w:tabs>
          <w:tab w:val="num" w:pos="1090"/>
        </w:tabs>
        <w:ind w:left="1090" w:hanging="360"/>
      </w:pPr>
    </w:lvl>
    <w:lvl w:ilvl="2" w:tplc="041A001B">
      <w:start w:val="1"/>
      <w:numFmt w:val="lowerRoman"/>
      <w:lvlText w:val="%3."/>
      <w:lvlJc w:val="right"/>
      <w:pPr>
        <w:tabs>
          <w:tab w:val="num" w:pos="1810"/>
        </w:tabs>
        <w:ind w:left="1810" w:hanging="180"/>
      </w:pPr>
    </w:lvl>
    <w:lvl w:ilvl="3" w:tplc="041A000F">
      <w:start w:val="1"/>
      <w:numFmt w:val="decimal"/>
      <w:lvlText w:val="%4."/>
      <w:lvlJc w:val="left"/>
      <w:pPr>
        <w:tabs>
          <w:tab w:val="num" w:pos="2530"/>
        </w:tabs>
        <w:ind w:left="2530" w:hanging="360"/>
      </w:pPr>
    </w:lvl>
    <w:lvl w:ilvl="4" w:tplc="041A0019">
      <w:start w:val="1"/>
      <w:numFmt w:val="lowerLetter"/>
      <w:lvlText w:val="%5."/>
      <w:lvlJc w:val="left"/>
      <w:pPr>
        <w:tabs>
          <w:tab w:val="num" w:pos="3250"/>
        </w:tabs>
        <w:ind w:left="3250" w:hanging="360"/>
      </w:pPr>
    </w:lvl>
    <w:lvl w:ilvl="5" w:tplc="041A001B">
      <w:start w:val="1"/>
      <w:numFmt w:val="lowerRoman"/>
      <w:lvlText w:val="%6."/>
      <w:lvlJc w:val="right"/>
      <w:pPr>
        <w:tabs>
          <w:tab w:val="num" w:pos="3970"/>
        </w:tabs>
        <w:ind w:left="3970" w:hanging="180"/>
      </w:pPr>
    </w:lvl>
    <w:lvl w:ilvl="6" w:tplc="041A000F">
      <w:start w:val="1"/>
      <w:numFmt w:val="decimal"/>
      <w:lvlText w:val="%7."/>
      <w:lvlJc w:val="left"/>
      <w:pPr>
        <w:tabs>
          <w:tab w:val="num" w:pos="4690"/>
        </w:tabs>
        <w:ind w:left="4690" w:hanging="360"/>
      </w:pPr>
    </w:lvl>
    <w:lvl w:ilvl="7" w:tplc="041A0019">
      <w:start w:val="1"/>
      <w:numFmt w:val="lowerLetter"/>
      <w:lvlText w:val="%8."/>
      <w:lvlJc w:val="left"/>
      <w:pPr>
        <w:tabs>
          <w:tab w:val="num" w:pos="5410"/>
        </w:tabs>
        <w:ind w:left="5410" w:hanging="360"/>
      </w:pPr>
    </w:lvl>
    <w:lvl w:ilvl="8" w:tplc="041A001B">
      <w:start w:val="1"/>
      <w:numFmt w:val="lowerRoman"/>
      <w:lvlText w:val="%9."/>
      <w:lvlJc w:val="right"/>
      <w:pPr>
        <w:tabs>
          <w:tab w:val="num" w:pos="6130"/>
        </w:tabs>
        <w:ind w:left="6130" w:hanging="180"/>
      </w:pPr>
    </w:lvl>
  </w:abstractNum>
  <w:abstractNum w:abstractNumId="7">
    <w:nsid w:val="32EC4B7D"/>
    <w:multiLevelType w:val="hybridMultilevel"/>
    <w:tmpl w:val="F7703AC8"/>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61F12F49"/>
    <w:multiLevelType w:val="hybridMultilevel"/>
    <w:tmpl w:val="74A2E184"/>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9">
    <w:nsid w:val="6229167A"/>
    <w:multiLevelType w:val="hybridMultilevel"/>
    <w:tmpl w:val="DBDAEED6"/>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0">
    <w:nsid w:val="69C171AF"/>
    <w:multiLevelType w:val="hybridMultilevel"/>
    <w:tmpl w:val="F5100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31F2BE0"/>
    <w:multiLevelType w:val="hybridMultilevel"/>
    <w:tmpl w:val="B27A65DA"/>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5"/>
  </w:num>
  <w:num w:numId="4">
    <w:abstractNumId w:val="6"/>
  </w:num>
  <w:num w:numId="5">
    <w:abstractNumId w:val="7"/>
  </w:num>
  <w:num w:numId="6">
    <w:abstractNumId w:val="2"/>
  </w:num>
  <w:num w:numId="7">
    <w:abstractNumId w:val="8"/>
  </w:num>
  <w:num w:numId="8">
    <w:abstractNumId w:val="11"/>
  </w:num>
  <w:num w:numId="9">
    <w:abstractNumId w:val="0"/>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6"/>
    <w:rsid w:val="00002520"/>
    <w:rsid w:val="000102B4"/>
    <w:rsid w:val="00020D38"/>
    <w:rsid w:val="000E17E9"/>
    <w:rsid w:val="0027780B"/>
    <w:rsid w:val="003075C8"/>
    <w:rsid w:val="003264AD"/>
    <w:rsid w:val="003957B6"/>
    <w:rsid w:val="004B5C39"/>
    <w:rsid w:val="00564959"/>
    <w:rsid w:val="006861FC"/>
    <w:rsid w:val="006B1822"/>
    <w:rsid w:val="006C419B"/>
    <w:rsid w:val="008E2201"/>
    <w:rsid w:val="009455F9"/>
    <w:rsid w:val="00A131DC"/>
    <w:rsid w:val="00A32374"/>
    <w:rsid w:val="00A72D7A"/>
    <w:rsid w:val="00B127F6"/>
    <w:rsid w:val="00B21F05"/>
    <w:rsid w:val="00BE44FC"/>
    <w:rsid w:val="00CA62BB"/>
    <w:rsid w:val="00D76905"/>
    <w:rsid w:val="00DE6A90"/>
    <w:rsid w:val="00ED566F"/>
    <w:rsid w:val="00F22A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64AD"/>
    <w:pPr>
      <w:ind w:left="720"/>
    </w:pPr>
    <w:rPr>
      <w:rFonts w:ascii="Calibri" w:eastAsia="Calibri" w:hAnsi="Calibri" w:cs="Calibri"/>
      <w:sz w:val="22"/>
      <w:szCs w:val="22"/>
      <w:lang w:eastAsia="en-US"/>
    </w:rPr>
  </w:style>
  <w:style w:type="character" w:styleId="Hyperlink">
    <w:name w:val="Hyperlink"/>
    <w:uiPriority w:val="99"/>
    <w:rsid w:val="003264AD"/>
    <w:rPr>
      <w:color w:val="0000FF"/>
      <w:u w:val="single"/>
    </w:rPr>
  </w:style>
  <w:style w:type="paragraph" w:styleId="Header">
    <w:name w:val="header"/>
    <w:basedOn w:val="Normal"/>
    <w:link w:val="HeaderChar"/>
    <w:rsid w:val="00020D38"/>
    <w:pPr>
      <w:tabs>
        <w:tab w:val="center" w:pos="4536"/>
        <w:tab w:val="right" w:pos="9072"/>
      </w:tabs>
    </w:pPr>
  </w:style>
  <w:style w:type="character" w:customStyle="1" w:styleId="HeaderChar">
    <w:name w:val="Header Char"/>
    <w:basedOn w:val="DefaultParagraphFont"/>
    <w:link w:val="Header"/>
    <w:rsid w:val="00020D38"/>
    <w:rPr>
      <w:sz w:val="24"/>
      <w:szCs w:val="24"/>
    </w:rPr>
  </w:style>
  <w:style w:type="paragraph" w:styleId="Footer">
    <w:name w:val="footer"/>
    <w:basedOn w:val="Normal"/>
    <w:link w:val="FooterChar"/>
    <w:uiPriority w:val="99"/>
    <w:rsid w:val="00020D38"/>
    <w:pPr>
      <w:tabs>
        <w:tab w:val="center" w:pos="4536"/>
        <w:tab w:val="right" w:pos="9072"/>
      </w:tabs>
    </w:pPr>
  </w:style>
  <w:style w:type="character" w:customStyle="1" w:styleId="FooterChar">
    <w:name w:val="Footer Char"/>
    <w:basedOn w:val="DefaultParagraphFont"/>
    <w:link w:val="Footer"/>
    <w:uiPriority w:val="99"/>
    <w:rsid w:val="00020D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64AD"/>
    <w:pPr>
      <w:ind w:left="720"/>
    </w:pPr>
    <w:rPr>
      <w:rFonts w:ascii="Calibri" w:eastAsia="Calibri" w:hAnsi="Calibri" w:cs="Calibri"/>
      <w:sz w:val="22"/>
      <w:szCs w:val="22"/>
      <w:lang w:eastAsia="en-US"/>
    </w:rPr>
  </w:style>
  <w:style w:type="character" w:styleId="Hyperlink">
    <w:name w:val="Hyperlink"/>
    <w:uiPriority w:val="99"/>
    <w:rsid w:val="003264AD"/>
    <w:rPr>
      <w:color w:val="0000FF"/>
      <w:u w:val="single"/>
    </w:rPr>
  </w:style>
  <w:style w:type="paragraph" w:styleId="Header">
    <w:name w:val="header"/>
    <w:basedOn w:val="Normal"/>
    <w:link w:val="HeaderChar"/>
    <w:rsid w:val="00020D38"/>
    <w:pPr>
      <w:tabs>
        <w:tab w:val="center" w:pos="4536"/>
        <w:tab w:val="right" w:pos="9072"/>
      </w:tabs>
    </w:pPr>
  </w:style>
  <w:style w:type="character" w:customStyle="1" w:styleId="HeaderChar">
    <w:name w:val="Header Char"/>
    <w:basedOn w:val="DefaultParagraphFont"/>
    <w:link w:val="Header"/>
    <w:rsid w:val="00020D38"/>
    <w:rPr>
      <w:sz w:val="24"/>
      <w:szCs w:val="24"/>
    </w:rPr>
  </w:style>
  <w:style w:type="paragraph" w:styleId="Footer">
    <w:name w:val="footer"/>
    <w:basedOn w:val="Normal"/>
    <w:link w:val="FooterChar"/>
    <w:uiPriority w:val="99"/>
    <w:rsid w:val="00020D38"/>
    <w:pPr>
      <w:tabs>
        <w:tab w:val="center" w:pos="4536"/>
        <w:tab w:val="right" w:pos="9072"/>
      </w:tabs>
    </w:pPr>
  </w:style>
  <w:style w:type="character" w:customStyle="1" w:styleId="FooterChar">
    <w:name w:val="Footer Char"/>
    <w:basedOn w:val="DefaultParagraphFont"/>
    <w:link w:val="Footer"/>
    <w:uiPriority w:val="99"/>
    <w:rsid w:val="00020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int.hr/prijavn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1A39A5A2C6A4D8D79425D3F4323B1" ma:contentTypeVersion="0" ma:contentTypeDescription="Create a new document." ma:contentTypeScope="" ma:versionID="857b2ef60b9cffd4134b76a565316a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BB760-BADD-4CE3-AE5F-58BDF93EF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87EFC3-52D1-4675-913E-8B1470D68272}">
  <ds:schemaRefs>
    <ds:schemaRef ds:uri="http://schemas.microsoft.com/sharepoint/v3/contenttype/forms"/>
  </ds:schemaRefs>
</ds:datastoreItem>
</file>

<file path=customXml/itemProps3.xml><?xml version="1.0" encoding="utf-8"?>
<ds:datastoreItem xmlns:ds="http://schemas.openxmlformats.org/officeDocument/2006/customXml" ds:itemID="{105CBCB9-4F34-4F03-9F04-CE48CA6EA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26464</CharactersWithSpaces>
  <SharedDoc>false</SharedDoc>
  <HLinks>
    <vt:vector size="18" baseType="variant">
      <vt:variant>
        <vt:i4>7602213</vt:i4>
      </vt:variant>
      <vt:variant>
        <vt:i4>6</vt:i4>
      </vt:variant>
      <vt:variant>
        <vt:i4>0</vt:i4>
      </vt:variant>
      <vt:variant>
        <vt:i4>5</vt:i4>
      </vt:variant>
      <vt:variant>
        <vt:lpwstr>http://www.mint.hr/</vt:lpwstr>
      </vt:variant>
      <vt:variant>
        <vt:lpwstr/>
      </vt:variant>
      <vt:variant>
        <vt:i4>7602213</vt:i4>
      </vt:variant>
      <vt:variant>
        <vt:i4>3</vt:i4>
      </vt:variant>
      <vt:variant>
        <vt:i4>0</vt:i4>
      </vt:variant>
      <vt:variant>
        <vt:i4>5</vt:i4>
      </vt:variant>
      <vt:variant>
        <vt:lpwstr>http://www.mint.hr/</vt:lpwstr>
      </vt:variant>
      <vt:variant>
        <vt:lpwstr/>
      </vt:variant>
      <vt:variant>
        <vt:i4>65549</vt:i4>
      </vt:variant>
      <vt:variant>
        <vt:i4>0</vt:i4>
      </vt:variant>
      <vt:variant>
        <vt:i4>0</vt:i4>
      </vt:variant>
      <vt:variant>
        <vt:i4>5</vt:i4>
      </vt:variant>
      <vt:variant>
        <vt:lpwstr>http://www.mint.hr/prijavnice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Antun Divald</dc:creator>
  <cp:lastModifiedBy>Bosiljko Domazet</cp:lastModifiedBy>
  <cp:revision>8</cp:revision>
  <cp:lastPrinted>1900-12-31T23:00:00Z</cp:lastPrinted>
  <dcterms:created xsi:type="dcterms:W3CDTF">2015-03-06T08:25:00Z</dcterms:created>
  <dcterms:modified xsi:type="dcterms:W3CDTF">2015-03-25T10:01:00Z</dcterms:modified>
</cp:coreProperties>
</file>