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56" w:rsidRDefault="00BA3E56" w:rsidP="00BA3E56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2608449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BA3E56" w:rsidRDefault="00BA3E56" w:rsidP="00BA3E56">
      <w:pPr>
        <w:jc w:val="right"/>
        <w:rPr>
          <w:color w:val="000000"/>
        </w:rPr>
      </w:pPr>
    </w:p>
    <w:p w:rsidR="00BA3E56" w:rsidRPr="004D335B" w:rsidRDefault="00BA3E56" w:rsidP="00BA3E56">
      <w:pPr>
        <w:rPr>
          <w:rFonts w:ascii="Arial Narrow" w:hAnsi="Arial Narrow"/>
          <w:sz w:val="22"/>
          <w:szCs w:val="22"/>
        </w:rPr>
      </w:pPr>
    </w:p>
    <w:p w:rsidR="00BA3E56" w:rsidRPr="004D335B" w:rsidRDefault="00BA3E56" w:rsidP="00BA3E56">
      <w:pPr>
        <w:rPr>
          <w:rFonts w:ascii="Arial Narrow" w:hAnsi="Arial Narrow" w:cs="Tahoma"/>
          <w:sz w:val="22"/>
          <w:szCs w:val="22"/>
        </w:rPr>
      </w:pPr>
      <w:r w:rsidRPr="004D335B">
        <w:rPr>
          <w:rFonts w:ascii="Arial Narrow" w:hAnsi="Arial Narrow" w:cs="Tahoma"/>
          <w:sz w:val="22"/>
          <w:szCs w:val="22"/>
        </w:rPr>
        <w:t>Na temelju Strategije razvoja turizma Republike Hrvatske do  2020. godine (NN 55/13), Strateškog plana Ministarstva turizma za razdoblje 2014. – 2016. godine i  Državnog proračuna Republike Hrvatske za 2014. godinu i projekcije za 2015. i 201</w:t>
      </w:r>
      <w:r>
        <w:rPr>
          <w:rFonts w:ascii="Arial Narrow" w:hAnsi="Arial Narrow" w:cs="Tahoma"/>
          <w:sz w:val="22"/>
          <w:szCs w:val="22"/>
        </w:rPr>
        <w:t>6. godinu (NN 152/</w:t>
      </w:r>
      <w:r w:rsidRPr="004D335B">
        <w:rPr>
          <w:rFonts w:ascii="Arial Narrow" w:hAnsi="Arial Narrow" w:cs="Tahoma"/>
          <w:sz w:val="22"/>
          <w:szCs w:val="22"/>
        </w:rPr>
        <w:t>13), te točke II Odluke Vlade o raspolaganju sredstvima Fonda za razvoj turizma (NN 122/13), Ministarstvo turizma provodi</w:t>
      </w:r>
    </w:p>
    <w:p w:rsidR="00BA3E56" w:rsidRPr="004D335B" w:rsidRDefault="00BA3E56" w:rsidP="00BA3E56">
      <w:pPr>
        <w:rPr>
          <w:rFonts w:ascii="Arial Narrow" w:hAnsi="Arial Narrow"/>
          <w:sz w:val="22"/>
          <w:szCs w:val="22"/>
        </w:rPr>
      </w:pPr>
    </w:p>
    <w:p w:rsidR="00BA3E56" w:rsidRPr="004D335B" w:rsidRDefault="00BA3E56" w:rsidP="00BA3E56">
      <w:pPr>
        <w:rPr>
          <w:rFonts w:ascii="Arial Narrow" w:hAnsi="Arial Narrow"/>
          <w:sz w:val="22"/>
          <w:szCs w:val="22"/>
        </w:rPr>
      </w:pPr>
    </w:p>
    <w:p w:rsidR="00BA3E56" w:rsidRDefault="00BA3E56" w:rsidP="00BA3E56">
      <w:pPr>
        <w:jc w:val="center"/>
        <w:rPr>
          <w:rFonts w:ascii="Arial Narrow" w:hAnsi="Arial Narrow" w:cs="Tahoma"/>
          <w:b/>
          <w:sz w:val="22"/>
          <w:szCs w:val="22"/>
        </w:rPr>
      </w:pPr>
      <w:r w:rsidRPr="004D335B">
        <w:rPr>
          <w:rFonts w:ascii="Arial Narrow" w:hAnsi="Arial Narrow" w:cs="Tahoma"/>
          <w:b/>
          <w:sz w:val="22"/>
          <w:szCs w:val="22"/>
        </w:rPr>
        <w:t xml:space="preserve">PROGRAM POTICANJA </w:t>
      </w:r>
      <w:r>
        <w:rPr>
          <w:rFonts w:ascii="Arial Narrow" w:hAnsi="Arial Narrow" w:cs="Tahoma"/>
          <w:b/>
          <w:sz w:val="22"/>
          <w:szCs w:val="22"/>
        </w:rPr>
        <w:t xml:space="preserve">IZRADE </w:t>
      </w:r>
      <w:r w:rsidRPr="004D335B">
        <w:rPr>
          <w:rFonts w:ascii="Arial Narrow" w:hAnsi="Arial Narrow" w:cs="Tahoma"/>
          <w:b/>
          <w:sz w:val="22"/>
          <w:szCs w:val="22"/>
        </w:rPr>
        <w:t xml:space="preserve">REGIONALNIH PROGRAMA UREĐENJA I </w:t>
      </w:r>
    </w:p>
    <w:p w:rsidR="00BA3E56" w:rsidRPr="004D335B" w:rsidRDefault="00BA3E56" w:rsidP="00BA3E56">
      <w:pPr>
        <w:jc w:val="center"/>
        <w:rPr>
          <w:rFonts w:ascii="Arial Narrow" w:hAnsi="Arial Narrow" w:cs="Tahoma"/>
          <w:b/>
          <w:sz w:val="22"/>
          <w:szCs w:val="22"/>
        </w:rPr>
      </w:pPr>
      <w:r w:rsidRPr="004D335B">
        <w:rPr>
          <w:rFonts w:ascii="Arial Narrow" w:hAnsi="Arial Narrow" w:cs="Tahoma"/>
          <w:b/>
          <w:sz w:val="22"/>
          <w:szCs w:val="22"/>
        </w:rPr>
        <w:t xml:space="preserve">UPRAVLJANJA MORSKIM PLAŽAMA </w:t>
      </w:r>
    </w:p>
    <w:p w:rsidR="00BA3E56" w:rsidRPr="004D335B" w:rsidRDefault="00BA3E56" w:rsidP="00BA3E56">
      <w:pPr>
        <w:rPr>
          <w:rFonts w:ascii="Arial Narrow" w:hAnsi="Arial Narrow"/>
          <w:sz w:val="22"/>
          <w:szCs w:val="22"/>
        </w:rPr>
      </w:pPr>
    </w:p>
    <w:p w:rsidR="00BA3E56" w:rsidRPr="004D335B" w:rsidRDefault="00BA3E56" w:rsidP="00BA3E56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374"/>
        <w:gridCol w:w="7094"/>
      </w:tblGrid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7A3ECB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A3ECB">
              <w:rPr>
                <w:rFonts w:ascii="Arial Narrow" w:hAnsi="Arial Narrow" w:cs="Tahoma"/>
                <w:b/>
                <w:sz w:val="22"/>
                <w:szCs w:val="22"/>
              </w:rPr>
              <w:t>OPĆI CILJ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Jačanje konkurentnosti turističkih destinacija Hrvatske.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left="10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A3ECB">
              <w:rPr>
                <w:rFonts w:ascii="Arial Narrow" w:hAnsi="Arial Narrow" w:cs="Tahoma"/>
                <w:b/>
                <w:sz w:val="22"/>
                <w:szCs w:val="22"/>
              </w:rPr>
              <w:t>POSEBNI CILJEV</w:t>
            </w:r>
            <w:r w:rsidRPr="008059AE"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Pr="004D335B" w:rsidRDefault="00BA3E56" w:rsidP="002A34FA">
            <w:pPr>
              <w:ind w:left="10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Uspostava sustavnog, promišljenog i održivog pristupa uređenju i upravljanju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morskim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plažama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A3E56" w:rsidRPr="004D335B" w:rsidRDefault="00BA3E56" w:rsidP="002A34FA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Razvoj javne turističke infrastrukture u svrhu jačanja konkurentnosti destinacije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A3E56" w:rsidRPr="004D335B" w:rsidRDefault="00BA3E56" w:rsidP="002A34FA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Podizanje kvalitete osnovnog turističkog proizvoda sunca i mora.</w:t>
            </w:r>
          </w:p>
          <w:p w:rsidR="00BA3E56" w:rsidRPr="004D335B" w:rsidRDefault="00BA3E56" w:rsidP="002A34FA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Identifikacija plažnih prostora kao resursne osnove i planiranje održivih modela uređenja i upravljanja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morskim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plažama. </w:t>
            </w:r>
          </w:p>
          <w:p w:rsidR="00BA3E56" w:rsidRPr="004D335B" w:rsidRDefault="00BA3E56" w:rsidP="002A34FA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Tematiziranje i brendiranje morskih plaža Jadrana s ciljem ostvarenja dugoročnog zadovoljstva turista i povećanja ukupne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turističke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potrošnje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A3E56" w:rsidRPr="004D335B" w:rsidRDefault="00BA3E56" w:rsidP="002A34FA">
            <w:pPr>
              <w:numPr>
                <w:ilvl w:val="0"/>
                <w:numId w:val="1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Usklađivanje interesa javnog, privatnog i civilnog sektora u upravljanju plažama kao javnom turističkom infrastrukturom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8059AE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59AE">
              <w:rPr>
                <w:rFonts w:ascii="Arial Narrow" w:hAnsi="Arial Narrow" w:cs="Tahoma"/>
                <w:b/>
                <w:sz w:val="22"/>
                <w:szCs w:val="22"/>
              </w:rPr>
              <w:t>NAMJENA/PREDMET FINANCIRANJA</w:t>
            </w: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Izrada R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egionalnih programa uređenja i upravljanja morskim plažama županija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softHyphen/>
              <w:t xml:space="preserve"> (u daljnjem tekstu: regionalni programi)</w:t>
            </w:r>
            <w:r>
              <w:rPr>
                <w:rFonts w:ascii="Arial Narrow" w:hAnsi="Arial Narrow" w:cs="Tahoma"/>
                <w:sz w:val="22"/>
                <w:szCs w:val="22"/>
              </w:rPr>
              <w:t>*.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BA3E56" w:rsidRPr="001C10C9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C10C9">
              <w:rPr>
                <w:rFonts w:ascii="Arial Narrow" w:hAnsi="Arial Narrow" w:cs="Tahoma"/>
                <w:b/>
                <w:sz w:val="22"/>
                <w:szCs w:val="22"/>
              </w:rPr>
              <w:t>*Obvezni elementi regionalnog programa kao i metodologija izrade sastavni su dio ovog Programa (PRILOG br. 1)</w:t>
            </w:r>
          </w:p>
          <w:p w:rsidR="00BA3E56" w:rsidRPr="004D335B" w:rsidRDefault="00BA3E56" w:rsidP="002A34FA">
            <w:pPr>
              <w:ind w:left="10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8059AE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59AE">
              <w:rPr>
                <w:rFonts w:ascii="Arial Narrow" w:hAnsi="Arial Narrow" w:cs="Tahoma"/>
                <w:b/>
                <w:sz w:val="22"/>
                <w:szCs w:val="22"/>
              </w:rPr>
              <w:t>KORISNICI</w:t>
            </w: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Jedinice područne (regionalne) samouprave, </w:t>
            </w:r>
            <w:r>
              <w:rPr>
                <w:rFonts w:ascii="Arial Narrow" w:hAnsi="Arial Narrow" w:cs="Tahoma"/>
                <w:sz w:val="22"/>
                <w:szCs w:val="22"/>
              </w:rPr>
              <w:t>(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u daljnjem tekstu: korisnici</w:t>
            </w:r>
            <w:r>
              <w:rPr>
                <w:rFonts w:ascii="Arial Narrow" w:hAnsi="Arial Narrow" w:cs="Tahoma"/>
                <w:sz w:val="22"/>
                <w:szCs w:val="22"/>
              </w:rPr>
              <w:t>)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8059AE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59AE">
              <w:rPr>
                <w:rFonts w:ascii="Arial Narrow" w:hAnsi="Arial Narrow" w:cs="Tahoma"/>
                <w:b/>
                <w:sz w:val="22"/>
                <w:szCs w:val="22"/>
              </w:rPr>
              <w:t>IZVOR FINANCIRANJA</w:t>
            </w: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Fond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za turizam, aktivnost u Državnom proračunu RH:  A761044.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rPr>
          <w:trHeight w:val="100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8059AE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8059AE">
              <w:rPr>
                <w:rFonts w:ascii="Arial Narrow" w:hAnsi="Arial Narrow" w:cs="Tahoma"/>
                <w:b/>
                <w:sz w:val="22"/>
                <w:szCs w:val="22"/>
              </w:rPr>
              <w:t xml:space="preserve">IZNOS SREDSTAVA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SUFINANCIRANJA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bottom w:val="nil"/>
              <w:right w:val="nil"/>
            </w:tcBorders>
          </w:tcPr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ind w:hanging="26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hanging="26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Ministarstvo turizma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(u daljnjem tekstu: Ministarstvo)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će korisnicima sufinancirati </w:t>
            </w:r>
            <w:r w:rsidRPr="004D335B">
              <w:rPr>
                <w:rFonts w:ascii="Arial Narrow" w:hAnsi="Arial Narrow" w:cs="Tahoma"/>
                <w:b/>
                <w:sz w:val="22"/>
                <w:szCs w:val="22"/>
              </w:rPr>
              <w:t>80</w:t>
            </w:r>
            <w:r w:rsidRPr="00292E78">
              <w:rPr>
                <w:rFonts w:ascii="Arial Narrow" w:hAnsi="Arial Narrow" w:cs="Tahoma"/>
                <w:sz w:val="22"/>
                <w:szCs w:val="22"/>
              </w:rPr>
              <w:t xml:space="preserve">%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prihvatljivih </w:t>
            </w:r>
            <w:r w:rsidRPr="002E0872">
              <w:rPr>
                <w:rFonts w:ascii="Arial Narrow" w:hAnsi="Arial Narrow" w:cs="Tahoma"/>
                <w:sz w:val="22"/>
                <w:szCs w:val="22"/>
              </w:rPr>
              <w:t xml:space="preserve">troškova pripreme izrade – Regionalnog programa, a </w:t>
            </w:r>
            <w:r w:rsidRPr="002E0872">
              <w:rPr>
                <w:rFonts w:ascii="Arial Narrow" w:hAnsi="Arial Narrow" w:cs="Tahoma"/>
                <w:b/>
                <w:sz w:val="22"/>
                <w:szCs w:val="22"/>
              </w:rPr>
              <w:t>najviše do 500.000,00 ku</w:t>
            </w:r>
            <w:r w:rsidRPr="004D335B">
              <w:rPr>
                <w:rFonts w:ascii="Arial Narrow" w:hAnsi="Arial Narrow" w:cs="Tahoma"/>
                <w:b/>
                <w:sz w:val="22"/>
                <w:szCs w:val="22"/>
              </w:rPr>
              <w:t>na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po pojedinom korisniku. Za ovu namjenu osigurano je ukupno 3.500.000,00 kn.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hanging="26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hanging="26"/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b/>
                <w:sz w:val="22"/>
                <w:szCs w:val="22"/>
              </w:rPr>
              <w:t>POSTUPAK PROVEDBE PROGRAMA</w:t>
            </w:r>
          </w:p>
          <w:p w:rsidR="00BA3E56" w:rsidRPr="004D335B" w:rsidRDefault="00BA3E56" w:rsidP="002A34F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9D138A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D138A">
              <w:rPr>
                <w:rFonts w:ascii="Arial Narrow" w:hAnsi="Arial Narrow" w:cs="Tahoma"/>
                <w:b/>
                <w:sz w:val="22"/>
                <w:szCs w:val="22"/>
              </w:rPr>
              <w:t>RASPISIVANJE JAVNOG POZIVA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numPr>
                <w:ilvl w:val="0"/>
                <w:numId w:val="19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Raspisivanje Javnog poziva za iskazivanje interesa županija za provedbu ovog Programa.</w:t>
            </w:r>
          </w:p>
          <w:p w:rsidR="00BA3E56" w:rsidRPr="004D335B" w:rsidRDefault="00BA3E56" w:rsidP="002A34FA">
            <w:pPr>
              <w:numPr>
                <w:ilvl w:val="0"/>
                <w:numId w:val="19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Na </w:t>
            </w:r>
            <w:r>
              <w:rPr>
                <w:rFonts w:ascii="Arial Narrow" w:hAnsi="Arial Narrow" w:cs="Tahoma"/>
                <w:sz w:val="22"/>
                <w:szCs w:val="22"/>
              </w:rPr>
              <w:t>Javni poziv Ministarstva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mogu se putem zahtjeva (Obrazac JP/14) javiti jadranske županije: </w:t>
            </w:r>
          </w:p>
          <w:p w:rsidR="00BA3E56" w:rsidRPr="004D335B" w:rsidRDefault="00BA3E56" w:rsidP="002A34FA">
            <w:pPr>
              <w:numPr>
                <w:ilvl w:val="0"/>
                <w:numId w:val="2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Istarska, </w:t>
            </w:r>
          </w:p>
          <w:p w:rsidR="00BA3E56" w:rsidRPr="004D335B" w:rsidRDefault="00BA3E56" w:rsidP="002A34FA">
            <w:pPr>
              <w:numPr>
                <w:ilvl w:val="0"/>
                <w:numId w:val="2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Primorsko – goranska,</w:t>
            </w:r>
          </w:p>
          <w:p w:rsidR="00BA3E56" w:rsidRPr="004D335B" w:rsidRDefault="00BA3E56" w:rsidP="002A34FA">
            <w:pPr>
              <w:numPr>
                <w:ilvl w:val="0"/>
                <w:numId w:val="2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Ličko – senjska, </w:t>
            </w:r>
          </w:p>
          <w:p w:rsidR="00BA3E56" w:rsidRPr="004D335B" w:rsidRDefault="00BA3E56" w:rsidP="002A34FA">
            <w:pPr>
              <w:numPr>
                <w:ilvl w:val="0"/>
                <w:numId w:val="2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Zadarska, </w:t>
            </w:r>
          </w:p>
          <w:p w:rsidR="00BA3E56" w:rsidRPr="004D335B" w:rsidRDefault="00BA3E56" w:rsidP="002A34FA">
            <w:pPr>
              <w:numPr>
                <w:ilvl w:val="0"/>
                <w:numId w:val="2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Šibensko – kninska, </w:t>
            </w:r>
          </w:p>
          <w:p w:rsidR="00BA3E56" w:rsidRPr="004D335B" w:rsidRDefault="00BA3E56" w:rsidP="002A34FA">
            <w:pPr>
              <w:numPr>
                <w:ilvl w:val="0"/>
                <w:numId w:val="2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Splitsko – dalmatinska, </w:t>
            </w:r>
          </w:p>
          <w:p w:rsidR="00BA3E56" w:rsidRDefault="00BA3E56" w:rsidP="002A34FA">
            <w:pPr>
              <w:numPr>
                <w:ilvl w:val="0"/>
                <w:numId w:val="22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Dubrovačko – neretvanska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A3E56" w:rsidRPr="004D335B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EF0D9C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F0D9C">
              <w:rPr>
                <w:rFonts w:ascii="Arial Narrow" w:hAnsi="Arial Narrow" w:cs="Tahoma"/>
                <w:b/>
                <w:sz w:val="22"/>
                <w:szCs w:val="22"/>
              </w:rPr>
              <w:t>NAČIN PODNOŠENJA ZAHTJEVA ZA ISKAZIVANJE INTERESA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left="334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Ministarstvo objavljuje J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avni poziv za iskazivanje interesa za provedbu ovog Programa na službenim stranicama Ministarstva </w:t>
            </w:r>
            <w:hyperlink r:id="rId8" w:history="1">
              <w:r w:rsidRPr="004D335B">
                <w:rPr>
                  <w:rStyle w:val="Hyperlink"/>
                  <w:rFonts w:ascii="Arial Narrow" w:hAnsi="Arial Narrow" w:cs="Tahoma"/>
                  <w:sz w:val="22"/>
                  <w:szCs w:val="22"/>
                </w:rPr>
                <w:t>www.mint.hr</w:t>
              </w:r>
            </w:hyperlink>
            <w:r w:rsidRPr="004D335B">
              <w:rPr>
                <w:rFonts w:ascii="Arial Narrow" w:hAnsi="Arial Narrow" w:cs="Tahoma"/>
                <w:sz w:val="22"/>
                <w:szCs w:val="22"/>
              </w:rPr>
              <w:t>. Prijave se podnose n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a popunjenom obrascu </w:t>
            </w:r>
            <w:r w:rsidRPr="001477DE">
              <w:rPr>
                <w:rFonts w:ascii="Arial Narrow" w:hAnsi="Arial Narrow" w:cs="Tahoma"/>
                <w:b/>
                <w:sz w:val="22"/>
                <w:szCs w:val="22"/>
              </w:rPr>
              <w:t>Zahtjeva (MP/14)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poštom ili osobno u zatvorenoj omotnici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na sljedeću adresu:</w:t>
            </w:r>
          </w:p>
          <w:p w:rsidR="00BA3E56" w:rsidRPr="004D335B" w:rsidRDefault="00BA3E56" w:rsidP="002A34FA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F7342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>Puni naziv i adresa</w:t>
            </w:r>
          </w:p>
          <w:p w:rsidR="00BA3E56" w:rsidRPr="00F7342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podnositelja zahtjeva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F7342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F73426" w:rsidRDefault="00BA3E56" w:rsidP="002A34FA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>MINISTARSTVO TURIZMA RH</w:t>
            </w:r>
          </w:p>
          <w:p w:rsidR="00BA3E56" w:rsidRDefault="00BA3E56" w:rsidP="002A34FA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 xml:space="preserve">„Prijava na Javni poziv – Regionalni program uređenja i </w:t>
            </w:r>
          </w:p>
          <w:p w:rsidR="00BA3E56" w:rsidRPr="00F73426" w:rsidRDefault="00BA3E56" w:rsidP="002A34FA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>upravl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janja morskim plažama </w:t>
            </w: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 xml:space="preserve"> – ne otvaraj“</w:t>
            </w:r>
          </w:p>
          <w:p w:rsidR="00BA3E56" w:rsidRPr="00F73426" w:rsidRDefault="00BA3E56" w:rsidP="002A34FA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>Prisavlje 14</w:t>
            </w:r>
          </w:p>
          <w:p w:rsidR="00BA3E56" w:rsidRPr="004D335B" w:rsidRDefault="00BA3E56" w:rsidP="002A34FA">
            <w:pPr>
              <w:ind w:left="360"/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ab/>
            </w: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ab/>
            </w: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ab/>
            </w: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ab/>
            </w: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ab/>
            </w: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ab/>
            </w:r>
            <w:r w:rsidRPr="00F73426">
              <w:rPr>
                <w:rFonts w:ascii="Arial Narrow" w:hAnsi="Arial Narrow" w:cs="Tahoma"/>
                <w:b/>
                <w:sz w:val="22"/>
                <w:szCs w:val="22"/>
              </w:rPr>
              <w:tab/>
              <w:t xml:space="preserve">        10 000 Zagreb</w:t>
            </w: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EF0D9C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F0D9C">
              <w:rPr>
                <w:rFonts w:ascii="Arial Narrow" w:hAnsi="Arial Narrow" w:cs="Tahoma"/>
                <w:b/>
                <w:sz w:val="22"/>
                <w:szCs w:val="22"/>
              </w:rPr>
              <w:t>ROK ZA PODNOŠENJE PRIJAVA ZA ISKAZIVANJE INTERESA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Javni poziv je otvoren od dana objave na službenim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stranicama Ministarstva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hyperlink r:id="rId9" w:history="1">
              <w:r w:rsidRPr="004D335B">
                <w:rPr>
                  <w:rStyle w:val="Hyperlink"/>
                  <w:rFonts w:ascii="Arial Narrow" w:hAnsi="Arial Narrow" w:cs="Tahoma"/>
                  <w:sz w:val="22"/>
                  <w:szCs w:val="22"/>
                </w:rPr>
                <w:t>www.mint.hr</w:t>
              </w:r>
            </w:hyperlink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) do zaključno s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2E7215">
              <w:rPr>
                <w:rFonts w:ascii="Arial Narrow" w:hAnsi="Arial Narrow" w:cs="Tahoma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7</w:t>
            </w:r>
            <w:r w:rsidRPr="002E7215">
              <w:rPr>
                <w:rFonts w:ascii="Arial Narrow" w:hAnsi="Arial Narrow" w:cs="Tahoma"/>
                <w:sz w:val="22"/>
                <w:szCs w:val="22"/>
              </w:rPr>
              <w:t xml:space="preserve">. </w:t>
            </w:r>
            <w:r w:rsidRPr="002E7215">
              <w:rPr>
                <w:rFonts w:ascii="Arial Narrow" w:hAnsi="Arial Narrow" w:cs="Tahoma"/>
                <w:b/>
                <w:sz w:val="22"/>
                <w:szCs w:val="22"/>
              </w:rPr>
              <w:t>ožujkom 2014. godine</w:t>
            </w:r>
            <w:r w:rsidRPr="002E7215">
              <w:rPr>
                <w:rFonts w:ascii="Arial Narrow" w:hAnsi="Arial Narrow" w:cs="Tahoma"/>
                <w:sz w:val="22"/>
                <w:szCs w:val="22"/>
              </w:rPr>
              <w:t>.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BA3E56" w:rsidRDefault="00BA3E56" w:rsidP="002A34FA">
            <w:pPr>
              <w:tabs>
                <w:tab w:val="left" w:pos="674"/>
              </w:tabs>
              <w:ind w:left="514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187583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ZAHTJEVI KOJI</w:t>
            </w:r>
            <w:r w:rsidRPr="00187583">
              <w:rPr>
                <w:rFonts w:ascii="Arial Narrow" w:hAnsi="Arial Narrow" w:cs="Tahoma"/>
                <w:b/>
                <w:sz w:val="22"/>
                <w:szCs w:val="22"/>
              </w:rPr>
              <w:t xml:space="preserve"> SE NEĆE RAZMATRATI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numPr>
                <w:ilvl w:val="0"/>
                <w:numId w:val="36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Zahtjevi zaprimljeni izvan roka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(rok za dostavu putem pošte otpr</w:t>
            </w:r>
            <w:r>
              <w:rPr>
                <w:rFonts w:ascii="Arial Narrow" w:hAnsi="Arial Narrow" w:cs="Tahoma"/>
                <w:sz w:val="22"/>
                <w:szCs w:val="22"/>
              </w:rPr>
              <w:t>emljeno s datumom zadnjeg dana J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avnog poziva, odnosno osobno u pisarnicu do kra</w:t>
            </w:r>
            <w:r>
              <w:rPr>
                <w:rFonts w:ascii="Arial Narrow" w:hAnsi="Arial Narrow" w:cs="Tahoma"/>
                <w:sz w:val="22"/>
                <w:szCs w:val="22"/>
              </w:rPr>
              <w:t>ja radnog vremena zadnjeg dana J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avnog poziva)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A3E56" w:rsidRPr="004D335B" w:rsidRDefault="00BA3E56" w:rsidP="002A34FA">
            <w:pPr>
              <w:numPr>
                <w:ilvl w:val="0"/>
                <w:numId w:val="36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Zahtjevi podnositelja koji po ov</w:t>
            </w:r>
            <w:r>
              <w:rPr>
                <w:rFonts w:ascii="Arial Narrow" w:hAnsi="Arial Narrow" w:cs="Tahoma"/>
                <w:sz w:val="22"/>
                <w:szCs w:val="22"/>
              </w:rPr>
              <w:t>om P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rogramu ne mogu biti korisnici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A3E56" w:rsidRPr="004D335B" w:rsidRDefault="00BA3E56" w:rsidP="002A34FA">
            <w:pPr>
              <w:numPr>
                <w:ilvl w:val="0"/>
                <w:numId w:val="36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Zahtjevi s nepotpunim i neovjerenim obrascima.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BA3E56" w:rsidRPr="004D335B" w:rsidRDefault="00BA3E56" w:rsidP="002A34FA">
            <w:pPr>
              <w:numPr>
                <w:ilvl w:val="0"/>
                <w:numId w:val="36"/>
              </w:numPr>
              <w:tabs>
                <w:tab w:val="left" w:pos="674"/>
              </w:tabs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Podnositelji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zahtjeva koji nisu izvršili ugovorne o</w:t>
            </w:r>
            <w:r>
              <w:rPr>
                <w:rFonts w:ascii="Arial Narrow" w:hAnsi="Arial Narrow" w:cs="Tahoma"/>
                <w:sz w:val="22"/>
                <w:szCs w:val="22"/>
              </w:rPr>
              <w:t>bveze prema Ministarstvu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iz prethodnih godina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BA3E56" w:rsidRPr="004D335B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187583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87583">
              <w:rPr>
                <w:rFonts w:ascii="Arial Narrow" w:hAnsi="Arial Narrow" w:cs="Tahoma"/>
                <w:b/>
                <w:sz w:val="22"/>
                <w:szCs w:val="22"/>
              </w:rPr>
              <w:t xml:space="preserve">POSTUPAK ODOBRAVANJA 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tabs>
                <w:tab w:val="left" w:pos="674"/>
              </w:tabs>
              <w:ind w:left="514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tabs>
                <w:tab w:val="left" w:pos="674"/>
              </w:tabs>
              <w:ind w:left="514"/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Za provedbu postupka odobra</w:t>
            </w:r>
            <w:r>
              <w:rPr>
                <w:rFonts w:ascii="Arial Narrow" w:hAnsi="Arial Narrow" w:cs="Tahoma"/>
                <w:sz w:val="22"/>
                <w:szCs w:val="22"/>
              </w:rPr>
              <w:t>vanja i ugovaranja Ministarstvo imenuje Povjerenstvo i Stručnu radnu skupinu. Stručna r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a</w:t>
            </w:r>
            <w:r>
              <w:rPr>
                <w:rFonts w:ascii="Arial Narrow" w:hAnsi="Arial Narrow" w:cs="Tahoma"/>
                <w:sz w:val="22"/>
                <w:szCs w:val="22"/>
              </w:rPr>
              <w:t>dna skupina Ministarstva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evidentira zaprimljene zahtjeve i utvrđuje ispravnost dokumentacije. O svom radu sa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stavlja zapisnik i dostavlja ga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Povjerenstvu. Na prijedlog Povjerenstva ministar donosi Odluku </w:t>
            </w:r>
            <w:r>
              <w:rPr>
                <w:rFonts w:ascii="Arial Narrow" w:hAnsi="Arial Narrow" w:cs="Tahoma"/>
                <w:sz w:val="22"/>
                <w:szCs w:val="22"/>
              </w:rPr>
              <w:t>o prihvaćanju zahtjeva korisnika koji su iskazali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interes za provedbu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ovog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Programa.</w:t>
            </w:r>
          </w:p>
          <w:p w:rsidR="00BA3E56" w:rsidRPr="004D335B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187583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87583">
              <w:rPr>
                <w:rFonts w:ascii="Arial Narrow" w:hAnsi="Arial Narrow" w:cs="Tahoma"/>
                <w:b/>
                <w:sz w:val="22"/>
                <w:szCs w:val="22"/>
              </w:rPr>
              <w:lastRenderedPageBreak/>
              <w:t xml:space="preserve">OBJAVA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ODLUKE O PRIHVAĆENIM ZAHTJEVIMA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tabs>
                <w:tab w:val="left" w:pos="674"/>
              </w:tabs>
              <w:ind w:left="514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C57B32" w:rsidRDefault="00BA3E56" w:rsidP="002A34FA">
            <w:pPr>
              <w:tabs>
                <w:tab w:val="left" w:pos="674"/>
              </w:tabs>
              <w:ind w:left="514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lastRenderedPageBreak/>
              <w:t>Ministarstvo će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na svojim službenim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stranicama </w:t>
            </w:r>
            <w:hyperlink r:id="rId10" w:history="1">
              <w:r w:rsidRPr="00EB337D">
                <w:rPr>
                  <w:rStyle w:val="Hyperlink"/>
                  <w:rFonts w:ascii="Arial Narrow" w:hAnsi="Arial Narrow" w:cs="Tahoma"/>
                  <w:sz w:val="22"/>
                  <w:szCs w:val="22"/>
                </w:rPr>
                <w:t>www.mint.hr</w:t>
              </w:r>
            </w:hyperlink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2E0872">
              <w:rPr>
                <w:rFonts w:ascii="Arial Narrow" w:hAnsi="Arial Narrow" w:cs="Tahoma"/>
                <w:sz w:val="22"/>
                <w:szCs w:val="22"/>
              </w:rPr>
              <w:t>objaviti Odluku ministra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o prihvaćenim zahtjevima</w:t>
            </w:r>
            <w:r w:rsidRPr="002E0872">
              <w:rPr>
                <w:rFonts w:ascii="Arial Narrow" w:hAnsi="Arial Narrow" w:cs="Tahoma"/>
                <w:sz w:val="22"/>
                <w:szCs w:val="22"/>
              </w:rPr>
              <w:t xml:space="preserve"> korisnika koji su iskazali interes za provedbu ovog Programa do zaključno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s</w:t>
            </w:r>
            <w:r w:rsidRPr="002E0872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2E7215">
              <w:rPr>
                <w:rFonts w:ascii="Arial Narrow" w:hAnsi="Arial Narrow" w:cs="Tahoma"/>
                <w:b/>
                <w:sz w:val="22"/>
                <w:szCs w:val="22"/>
              </w:rPr>
              <w:t>3. travnjem 2014. godine.</w:t>
            </w:r>
          </w:p>
          <w:p w:rsidR="00BA3E56" w:rsidRPr="004D335B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107E23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107E23">
              <w:rPr>
                <w:rFonts w:ascii="Arial Narrow" w:hAnsi="Arial Narrow" w:cs="Tahoma"/>
                <w:b/>
                <w:sz w:val="22"/>
                <w:szCs w:val="22"/>
              </w:rPr>
              <w:t>JAVNA NABAVA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numPr>
                <w:ilvl w:val="0"/>
                <w:numId w:val="2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Korisnik pokreće postupak j</w:t>
            </w:r>
            <w:r>
              <w:rPr>
                <w:rFonts w:ascii="Arial Narrow" w:hAnsi="Arial Narrow" w:cs="Tahoma"/>
                <w:sz w:val="22"/>
                <w:szCs w:val="22"/>
              </w:rPr>
              <w:t>avne nabave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za izradu Regionalnog programa uređenja i upravljanja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morskim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plažama županije (Zakon o javnoj nabavi NN 90/13, 83/13, 1</w:t>
            </w:r>
            <w:r>
              <w:rPr>
                <w:rFonts w:ascii="Arial Narrow" w:hAnsi="Arial Narrow" w:cs="Tahoma"/>
                <w:sz w:val="22"/>
                <w:szCs w:val="22"/>
              </w:rPr>
              <w:t>43/13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), u roku od 30 dana od dana objave prihvaćenih zahtjeva na službenim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stranicama Ministarstva www.mint.hr.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 </w:t>
            </w:r>
          </w:p>
          <w:p w:rsidR="00BA3E56" w:rsidRDefault="00BA3E56" w:rsidP="002A34FA">
            <w:pPr>
              <w:numPr>
                <w:ilvl w:val="0"/>
                <w:numId w:val="2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U ocjenjivački sud županija imenuje kao člana jednog predstavnika Ministarst</w:t>
            </w:r>
            <w:r>
              <w:rPr>
                <w:rFonts w:ascii="Arial Narrow" w:hAnsi="Arial Narrow" w:cs="Tahoma"/>
                <w:sz w:val="22"/>
                <w:szCs w:val="22"/>
              </w:rPr>
              <w:t>va.</w:t>
            </w:r>
          </w:p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884B68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--&gt;  </w:t>
            </w:r>
            <w:r>
              <w:rPr>
                <w:rFonts w:ascii="Arial Narrow" w:hAnsi="Arial Narrow" w:cs="Tahoma"/>
                <w:sz w:val="22"/>
                <w:szCs w:val="22"/>
              </w:rPr>
              <w:t>Za provedbu postupka javne nabave županija pisanim putem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 xml:space="preserve"> traži p</w:t>
            </w:r>
            <w:r>
              <w:rPr>
                <w:rFonts w:ascii="Arial Narrow" w:hAnsi="Arial Narrow" w:cs="Tahoma"/>
                <w:sz w:val="22"/>
                <w:szCs w:val="22"/>
              </w:rPr>
              <w:t>redstavnika Ministarstva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 xml:space="preserve"> za člana ocjenjivačkog suda. Predsjednik P</w:t>
            </w:r>
            <w:r>
              <w:rPr>
                <w:rFonts w:ascii="Arial Narrow" w:hAnsi="Arial Narrow" w:cs="Tahoma"/>
                <w:sz w:val="22"/>
                <w:szCs w:val="22"/>
              </w:rPr>
              <w:t>ovjerenstva Ministarstva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 xml:space="preserve"> imenuje člana/članove ocjenjivačkog suda u postupku javne nabave u županijama.</w:t>
            </w:r>
          </w:p>
          <w:p w:rsidR="00BA3E56" w:rsidRPr="00884B68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numPr>
                <w:ilvl w:val="0"/>
                <w:numId w:val="24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S odabranim ponuditeljem korisnik sklapa ugovor o izvršenju predmetnih poslova: izrada Regionalnog programa</w:t>
            </w:r>
            <w:r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tabs>
                <w:tab w:val="left" w:pos="674"/>
              </w:tabs>
              <w:ind w:left="514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C721A7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C721A7">
              <w:rPr>
                <w:rFonts w:ascii="Arial Narrow" w:hAnsi="Arial Narrow" w:cs="Tahoma"/>
                <w:b/>
                <w:sz w:val="22"/>
                <w:szCs w:val="22"/>
              </w:rPr>
              <w:t>POSTUPAK UGOVARANJA S MINISTARSTVOM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  <w:r w:rsidRPr="009E1CEC">
              <w:rPr>
                <w:rFonts w:ascii="Arial Narrow" w:hAnsi="Arial Narrow" w:cs="Tahoma"/>
                <w:sz w:val="22"/>
                <w:szCs w:val="22"/>
              </w:rPr>
              <w:t>Nakon provedenih postupaka javne nabave za odabir izabranog ponuditelja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za izradu Regionalnog programa</w:t>
            </w:r>
            <w:r w:rsidRPr="009E1CEC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korisnik sklapa ugovor s Ministarstvom. </w:t>
            </w:r>
          </w:p>
          <w:p w:rsidR="00BA3E56" w:rsidRPr="00884B68" w:rsidRDefault="00BA3E56" w:rsidP="002A34FA">
            <w:pPr>
              <w:ind w:left="360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--&gt;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>Ra</w:t>
            </w:r>
            <w:r>
              <w:rPr>
                <w:rFonts w:ascii="Arial Narrow" w:hAnsi="Arial Narrow" w:cs="Tahoma"/>
                <w:sz w:val="22"/>
                <w:szCs w:val="22"/>
              </w:rPr>
              <w:t>dna skupina Ministarstva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 xml:space="preserve"> pregledava i obrađuje pristiglu dokumentaciju sukcesivno po zaprimanju zahtjeva korisnika. Povjerenstvo predlaže ministru donošenje odluke o sklapanju ugovora s korisnicima sredstava. Navedena odluka objavit će se na službenim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stranicama Ministarstva www.mint.hr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>. Ministarstvo će s odabranim korisnicima potpisa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ti ugovor najkasnije u roku od </w:t>
            </w:r>
            <w:r w:rsidRPr="00C73153">
              <w:rPr>
                <w:rFonts w:ascii="Arial Narrow" w:hAnsi="Arial Narrow" w:cs="Tahoma"/>
                <w:sz w:val="22"/>
                <w:szCs w:val="22"/>
              </w:rPr>
              <w:t>15 dana od dana ob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 xml:space="preserve">jave Odluke ministra na 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svojim 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>službenim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stranicama Ministarstva</w:t>
            </w:r>
            <w:r w:rsidRPr="00884B68">
              <w:rPr>
                <w:rFonts w:ascii="Arial Narrow" w:hAnsi="Arial Narrow" w:cs="Tahoma"/>
                <w:sz w:val="22"/>
                <w:szCs w:val="22"/>
              </w:rPr>
              <w:t>.</w:t>
            </w:r>
          </w:p>
          <w:p w:rsidR="00BA3E56" w:rsidRDefault="00BA3E56" w:rsidP="002A34FA">
            <w:pPr>
              <w:ind w:left="36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rPr>
          <w:trHeight w:val="2705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A52E60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52E60">
              <w:rPr>
                <w:rFonts w:ascii="Arial Narrow" w:hAnsi="Arial Narrow" w:cs="Tahoma"/>
                <w:b/>
                <w:sz w:val="22"/>
                <w:szCs w:val="22"/>
              </w:rPr>
              <w:t>DOKUMENTACIJA KOJA SE DOSTAVLJA PRI SKLAPANJU UGOVORA S MINISTARSTVOM</w:t>
            </w:r>
          </w:p>
          <w:p w:rsidR="00BA3E56" w:rsidRPr="00A52E60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numPr>
                <w:ilvl w:val="0"/>
                <w:numId w:val="38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Ovjereni ugovor s odabranim ponuditeljem za izradu Regionalnog programa</w:t>
            </w: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BA3E56" w:rsidRPr="004D335B" w:rsidRDefault="00BA3E56" w:rsidP="002A34FA">
            <w:pPr>
              <w:numPr>
                <w:ilvl w:val="0"/>
                <w:numId w:val="38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otvrda nadležne Porezne uprave o nepostojanju duga prem</w:t>
            </w:r>
            <w:r>
              <w:rPr>
                <w:rFonts w:ascii="Arial Narrow" w:hAnsi="Arial Narrow" w:cs="Tahoma"/>
                <w:sz w:val="22"/>
                <w:szCs w:val="22"/>
              </w:rPr>
              <w:t>a državi, ne starija od 30 dana,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BA3E56" w:rsidRDefault="00BA3E56" w:rsidP="002A34FA">
            <w:pPr>
              <w:numPr>
                <w:ilvl w:val="0"/>
                <w:numId w:val="38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D05DFF">
              <w:rPr>
                <w:rFonts w:ascii="Arial Narrow" w:hAnsi="Arial Narrow" w:cs="Tahoma"/>
                <w:sz w:val="22"/>
                <w:szCs w:val="22"/>
              </w:rPr>
              <w:t xml:space="preserve">nstrumenti osiguranja za dodijeljena sredstva (bjanko zadužnica </w:t>
            </w:r>
            <w:r w:rsidRPr="002E0872">
              <w:rPr>
                <w:rFonts w:ascii="Arial Narrow" w:hAnsi="Arial Narrow" w:cs="Tahoma"/>
                <w:sz w:val="22"/>
                <w:szCs w:val="22"/>
              </w:rPr>
              <w:t>na prvi veći iznos odobrenih sredstava solemniziranu od strane javnog bilježnika</w:t>
            </w:r>
            <w:r w:rsidRPr="00D05DFF">
              <w:rPr>
                <w:rFonts w:ascii="Arial Narrow" w:hAnsi="Arial Narrow" w:cs="Tahoma"/>
                <w:sz w:val="22"/>
                <w:szCs w:val="22"/>
              </w:rPr>
              <w:t>, koju Ministarstvo zadržava sve do završenog projekta: i</w:t>
            </w:r>
            <w:r>
              <w:rPr>
                <w:rFonts w:ascii="Arial Narrow" w:hAnsi="Arial Narrow" w:cs="Tahoma"/>
                <w:sz w:val="22"/>
                <w:szCs w:val="22"/>
              </w:rPr>
              <w:t>zrade Regionalnog programa,</w:t>
            </w:r>
          </w:p>
          <w:p w:rsidR="00BA3E56" w:rsidRPr="004F2787" w:rsidRDefault="00BA3E56" w:rsidP="002A34FA">
            <w:pPr>
              <w:numPr>
                <w:ilvl w:val="0"/>
                <w:numId w:val="38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4F2787">
              <w:rPr>
                <w:rFonts w:ascii="Arial Narrow" w:hAnsi="Arial Narrow" w:cs="Tahoma"/>
                <w:sz w:val="22"/>
                <w:szCs w:val="22"/>
              </w:rPr>
              <w:t>zjava o PDV-u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koja se nalazi na službenim stranicama Ministarstva.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left="334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rPr>
          <w:trHeight w:val="1433"/>
        </w:trPr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A52E60">
              <w:rPr>
                <w:rFonts w:ascii="Arial Narrow" w:hAnsi="Arial Narrow" w:cs="Tahoma"/>
                <w:b/>
                <w:sz w:val="22"/>
                <w:szCs w:val="22"/>
              </w:rPr>
              <w:t xml:space="preserve">ISPLATA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SREDSTAVA </w:t>
            </w:r>
            <w:r w:rsidRPr="00A52E60">
              <w:rPr>
                <w:rFonts w:ascii="Arial Narrow" w:hAnsi="Arial Narrow" w:cs="Tahoma"/>
                <w:b/>
                <w:sz w:val="22"/>
                <w:szCs w:val="22"/>
              </w:rPr>
              <w:t>MINISTARSTVA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TURIZMA PO UGOVORU</w:t>
            </w: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A52E60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ind w:left="44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numPr>
                <w:ilvl w:val="0"/>
                <w:numId w:val="2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Po potpisivanju ugovora s korisnikom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Ministarstvo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će isplatiti 50% ugovorenih sredstava.</w:t>
            </w:r>
          </w:p>
          <w:p w:rsidR="00BA3E56" w:rsidRPr="004D335B" w:rsidRDefault="00BA3E56" w:rsidP="002A34FA">
            <w:pPr>
              <w:numPr>
                <w:ilvl w:val="0"/>
                <w:numId w:val="23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Preostali dio (50% sre</w:t>
            </w:r>
            <w:r>
              <w:rPr>
                <w:rFonts w:ascii="Arial Narrow" w:hAnsi="Arial Narrow" w:cs="Tahoma"/>
                <w:sz w:val="22"/>
                <w:szCs w:val="22"/>
              </w:rPr>
              <w:t>dstava) Ministarstvo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će isplatiti po dostavi konačnog dokumenta „Regionalni program uređenja i upravljanja morskim plažama županije“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službeno usvojenog od strane županijske skupštine i </w:t>
            </w:r>
            <w:r>
              <w:rPr>
                <w:rFonts w:ascii="Arial Narrow" w:hAnsi="Arial Narrow" w:cs="Tahoma"/>
                <w:sz w:val="22"/>
                <w:szCs w:val="22"/>
              </w:rPr>
              <w:t>objavljenog u službenom glasilu županije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najkasnije do 15. prosinca 2014. godine.</w:t>
            </w:r>
          </w:p>
          <w:p w:rsidR="00BA3E56" w:rsidRDefault="00BA3E56" w:rsidP="002A34FA">
            <w:pPr>
              <w:ind w:left="44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left="44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ind w:left="334"/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E40925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40925">
              <w:rPr>
                <w:rFonts w:ascii="Arial Narrow" w:hAnsi="Arial Narrow" w:cs="Tahoma"/>
                <w:b/>
                <w:sz w:val="22"/>
                <w:szCs w:val="22"/>
              </w:rPr>
              <w:t>OBVEZE KORISNIKA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lastRenderedPageBreak/>
              <w:tab/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Nakon izrade Regionalnog programa korisnik je dužan Ministarstvu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dostaviti:</w:t>
            </w:r>
          </w:p>
          <w:p w:rsidR="00BA3E56" w:rsidRPr="004D335B" w:rsidRDefault="00BA3E56" w:rsidP="002A34FA">
            <w:pPr>
              <w:numPr>
                <w:ilvl w:val="0"/>
                <w:numId w:val="37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Regionalni program uređenja i upravljanja morskim plažama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županije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- u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lastRenderedPageBreak/>
              <w:t xml:space="preserve">tiskanom i </w:t>
            </w:r>
            <w:r w:rsidRPr="00186430">
              <w:rPr>
                <w:rFonts w:ascii="Arial Narrow" w:hAnsi="Arial Narrow" w:cs="Tahoma"/>
                <w:sz w:val="22"/>
                <w:szCs w:val="22"/>
              </w:rPr>
              <w:t>elektroničkom mediju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(CD, USB stick i sl.),</w:t>
            </w:r>
          </w:p>
          <w:p w:rsidR="00BA3E56" w:rsidRPr="004D335B" w:rsidRDefault="00BA3E56" w:rsidP="002A34FA">
            <w:pPr>
              <w:numPr>
                <w:ilvl w:val="0"/>
                <w:numId w:val="37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presliku Odluke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županijske skupštine o usvajanju predmetnog dokumenta</w:t>
            </w:r>
            <w:r>
              <w:rPr>
                <w:rFonts w:ascii="Arial Narrow" w:hAnsi="Arial Narrow" w:cs="Tahoma"/>
                <w:sz w:val="22"/>
                <w:szCs w:val="22"/>
              </w:rPr>
              <w:t>,</w:t>
            </w:r>
          </w:p>
          <w:p w:rsidR="00BA3E56" w:rsidRPr="004D335B" w:rsidRDefault="00BA3E56" w:rsidP="002A34FA">
            <w:pPr>
              <w:numPr>
                <w:ilvl w:val="0"/>
                <w:numId w:val="37"/>
              </w:num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lužbeno gl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asilo županije u kojem je predmetna Odluka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objavljen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a, </w:t>
            </w:r>
          </w:p>
          <w:p w:rsidR="00BA3E56" w:rsidRPr="004D335B" w:rsidRDefault="00BA3E56" w:rsidP="002A34FA">
            <w:pPr>
              <w:numPr>
                <w:ilvl w:val="0"/>
                <w:numId w:val="37"/>
              </w:num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dokaz o izvršenoj obvezi prema izabranom ponuditelju (faktura i bankovni izvadak o potvrdi uplate).</w:t>
            </w:r>
          </w:p>
          <w:p w:rsidR="00BA3E56" w:rsidRPr="004D335B" w:rsidRDefault="00BA3E56" w:rsidP="002A34FA">
            <w:pPr>
              <w:ind w:left="334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CA3ACC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CA3ACC">
              <w:rPr>
                <w:rFonts w:ascii="Arial Narrow" w:hAnsi="Arial Narrow" w:cs="Tahoma"/>
                <w:b/>
                <w:sz w:val="22"/>
                <w:szCs w:val="22"/>
              </w:rPr>
              <w:t>NADZOR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Nadzor nad namjenskim trošenjem sredstava vrši se uvidom u zaprimljenu dokumentaciju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u svim fazama provedbe ovog P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rograma.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U slučaju utvrđivanja objektivnih okolnosti koje su utjecale na nemogućnost ispunjenja obveza koje proizlaze iz ovog Programa i koje su utvrđene Ugovorom, korisnik sredstava je dužan odmah o tome obavijestiti Ministarstvo pisanim putem a najkasnije u roku od 7 dana od nastupanja novonastalih okolnosti.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Na zahtjev Ministarstva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korisnik je dužan pružiti na uvid i dodatnu, naknadno traženu dokumentaciju i/ili dodatna pojašnjenja.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U slučaju utvrđivanja nepravilnosti u korištenju odobrenih sredstava, Ministarstvo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donosi Odluku o povratu isplaćenih sredstava, a k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orisnik ih je dužan vratiti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u roku 15 dana od zaprimanja Odluke.</w:t>
            </w: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BA3E56" w:rsidRPr="00937D74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PRILOG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E56" w:rsidRDefault="00BA3E56" w:rsidP="002A34FA">
            <w:pPr>
              <w:ind w:left="1080"/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Default="00BA3E56" w:rsidP="002A34FA">
            <w:pPr>
              <w:ind w:left="1080"/>
              <w:rPr>
                <w:rFonts w:ascii="Arial Narrow" w:hAnsi="Arial Narrow" w:cs="Tahoma"/>
                <w:sz w:val="22"/>
                <w:szCs w:val="22"/>
              </w:rPr>
            </w:pPr>
            <w:r w:rsidRPr="00935EC6">
              <w:rPr>
                <w:rFonts w:ascii="Arial Narrow" w:hAnsi="Arial Narrow" w:cs="Tahoma"/>
                <w:b/>
                <w:sz w:val="22"/>
                <w:szCs w:val="22"/>
              </w:rPr>
              <w:t xml:space="preserve">Prilog 1 - </w:t>
            </w:r>
            <w:r w:rsidRPr="001C10C9">
              <w:rPr>
                <w:rFonts w:ascii="Arial Narrow" w:hAnsi="Arial Narrow" w:cs="Tahoma"/>
                <w:b/>
                <w:sz w:val="22"/>
                <w:szCs w:val="22"/>
              </w:rPr>
              <w:t xml:space="preserve">Obvezni elementi regionalnog programa kao i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            </w:t>
            </w:r>
            <w:r w:rsidRPr="001C10C9">
              <w:rPr>
                <w:rFonts w:ascii="Arial Narrow" w:hAnsi="Arial Narrow" w:cs="Tahoma"/>
                <w:b/>
                <w:sz w:val="22"/>
                <w:szCs w:val="22"/>
              </w:rPr>
              <w:t>metodologija izrade sastavni su dio ovog Programa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BA3E56" w:rsidRPr="00CA07F9" w:rsidRDefault="00BA3E56" w:rsidP="002A34FA">
            <w:pPr>
              <w:ind w:left="1080"/>
              <w:rPr>
                <w:rFonts w:ascii="Arial Narrow" w:hAnsi="Arial Narrow" w:cs="Tahoma"/>
                <w:sz w:val="22"/>
                <w:szCs w:val="22"/>
                <w:highlight w:val="yellow"/>
              </w:rPr>
            </w:pPr>
          </w:p>
        </w:tc>
      </w:tr>
      <w:tr w:rsidR="00BA3E56" w:rsidRPr="004D335B" w:rsidTr="002A34FA"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CA3ACC" w:rsidRDefault="00BA3E56" w:rsidP="002A34FA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CA3ACC">
              <w:rPr>
                <w:rFonts w:ascii="Arial Narrow" w:hAnsi="Arial Narrow" w:cs="Tahoma"/>
                <w:b/>
                <w:sz w:val="22"/>
                <w:szCs w:val="22"/>
              </w:rPr>
              <w:t>ZAVRŠNE ODREDBE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BA3E56" w:rsidRPr="004D335B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D335B">
              <w:rPr>
                <w:rFonts w:ascii="Arial Narrow" w:hAnsi="Arial Narrow" w:cs="Tahoma"/>
                <w:sz w:val="22"/>
                <w:szCs w:val="22"/>
              </w:rPr>
              <w:t>Tijekom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provedbe Programa Ministarstvo 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>zadržava pravo na izm</w:t>
            </w:r>
            <w:r>
              <w:rPr>
                <w:rFonts w:ascii="Arial Narrow" w:hAnsi="Arial Narrow" w:cs="Tahoma"/>
                <w:sz w:val="22"/>
                <w:szCs w:val="22"/>
              </w:rPr>
              <w:t>jene i dopune istog.</w:t>
            </w:r>
            <w:r w:rsidRPr="004D335B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</w:p>
          <w:p w:rsidR="00BA3E56" w:rsidRDefault="00BA3E56" w:rsidP="002A34FA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BA3E56" w:rsidRPr="004D335B" w:rsidRDefault="00BA3E56" w:rsidP="00BA3E56">
      <w:pPr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jc w:val="right"/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jc w:val="right"/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jc w:val="center"/>
        <w:rPr>
          <w:rFonts w:ascii="Arial Narrow" w:hAnsi="Arial Narrow" w:cs="Tahoma"/>
          <w:sz w:val="22"/>
          <w:szCs w:val="22"/>
        </w:rPr>
      </w:pPr>
    </w:p>
    <w:p w:rsidR="00BA3E56" w:rsidRPr="004D335B" w:rsidRDefault="00BA3E56" w:rsidP="00BA3E56">
      <w:p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4D335B">
        <w:rPr>
          <w:rFonts w:ascii="Arial Narrow" w:hAnsi="Arial Narrow" w:cs="Tahoma"/>
          <w:sz w:val="22"/>
          <w:szCs w:val="22"/>
        </w:rPr>
        <w:t>M I N I S T A R</w:t>
      </w:r>
    </w:p>
    <w:p w:rsidR="00BA3E56" w:rsidRDefault="00BA3E56" w:rsidP="00BA3E56">
      <w:p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</w:p>
    <w:p w:rsidR="00BA3E56" w:rsidRPr="004D335B" w:rsidRDefault="00BA3E56" w:rsidP="00BA3E56">
      <w:p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 w:rsidRPr="004D335B">
        <w:rPr>
          <w:rFonts w:ascii="Arial Narrow" w:hAnsi="Arial Narrow" w:cs="Tahoma"/>
          <w:sz w:val="22"/>
          <w:szCs w:val="22"/>
        </w:rPr>
        <w:t>Darko Lorencin</w:t>
      </w:r>
    </w:p>
    <w:p w:rsidR="00BA3E56" w:rsidRPr="004D335B" w:rsidRDefault="00BA3E56" w:rsidP="00BA3E56">
      <w:pPr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</w:p>
    <w:p w:rsidR="00BA3E56" w:rsidRDefault="00BA3E56" w:rsidP="00BA3E56">
      <w:pPr>
        <w:ind w:right="-108"/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ind w:right="-108"/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ind w:right="-108"/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ind w:right="-108"/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rPr>
          <w:rFonts w:ascii="Arial Narrow" w:hAnsi="Arial Narrow"/>
          <w:color w:val="000000"/>
          <w:sz w:val="22"/>
        </w:rPr>
      </w:pPr>
    </w:p>
    <w:p w:rsidR="00BA3E56" w:rsidRDefault="00BA3E56" w:rsidP="00BA3E56">
      <w:pPr>
        <w:rPr>
          <w:rFonts w:ascii="Arial Narrow" w:hAnsi="Arial Narrow"/>
          <w:color w:val="000000"/>
          <w:sz w:val="22"/>
        </w:rPr>
      </w:pPr>
    </w:p>
    <w:p w:rsidR="00BA3E56" w:rsidRDefault="00BA3E56" w:rsidP="00BA3E56">
      <w:pPr>
        <w:rPr>
          <w:rFonts w:ascii="Arial Narrow" w:hAnsi="Arial Narrow"/>
          <w:color w:val="000000"/>
          <w:sz w:val="22"/>
        </w:rPr>
      </w:pPr>
    </w:p>
    <w:p w:rsidR="00BA3E56" w:rsidRPr="00E57E8C" w:rsidRDefault="00BA3E56" w:rsidP="00BA3E56">
      <w:pPr>
        <w:rPr>
          <w:rFonts w:ascii="Arial Narrow" w:hAnsi="Arial Narrow"/>
          <w:color w:val="000000"/>
          <w:sz w:val="22"/>
        </w:rPr>
      </w:pPr>
      <w:r w:rsidRPr="00E57E8C">
        <w:rPr>
          <w:rFonts w:ascii="Arial Narrow" w:hAnsi="Arial Narrow"/>
          <w:color w:val="000000"/>
          <w:sz w:val="22"/>
        </w:rPr>
        <w:t xml:space="preserve">KLASA: </w:t>
      </w:r>
      <w:bookmarkStart w:id="2" w:name="Klasa"/>
      <w:r w:rsidRPr="00E57E8C">
        <w:rPr>
          <w:rFonts w:ascii="Arial Narrow" w:hAnsi="Arial Narrow"/>
          <w:color w:val="000000"/>
          <w:sz w:val="22"/>
        </w:rPr>
        <w:t>334-05/14-01/10</w:t>
      </w:r>
      <w:bookmarkEnd w:id="2"/>
    </w:p>
    <w:p w:rsidR="00BA3E56" w:rsidRPr="00E57E8C" w:rsidRDefault="00BA3E56" w:rsidP="00BA3E56">
      <w:pPr>
        <w:rPr>
          <w:rFonts w:ascii="Arial Narrow" w:hAnsi="Arial Narrow"/>
          <w:color w:val="000000"/>
          <w:sz w:val="22"/>
        </w:rPr>
      </w:pPr>
      <w:r w:rsidRPr="00E57E8C">
        <w:rPr>
          <w:rFonts w:ascii="Arial Narrow" w:hAnsi="Arial Narrow"/>
          <w:color w:val="000000"/>
          <w:sz w:val="22"/>
        </w:rPr>
        <w:t xml:space="preserve">URBROJ: </w:t>
      </w:r>
      <w:bookmarkStart w:id="3" w:name="Ur_broj"/>
      <w:r w:rsidRPr="00E57E8C">
        <w:rPr>
          <w:rFonts w:ascii="Arial Narrow" w:hAnsi="Arial Narrow"/>
          <w:color w:val="000000"/>
          <w:sz w:val="22"/>
        </w:rPr>
        <w:t>529-05-14-1</w:t>
      </w:r>
      <w:bookmarkEnd w:id="3"/>
    </w:p>
    <w:p w:rsidR="00BA3E56" w:rsidRPr="00E57E8C" w:rsidRDefault="00BA3E56" w:rsidP="00BA3E56">
      <w:pPr>
        <w:rPr>
          <w:rFonts w:ascii="Arial Narrow" w:hAnsi="Arial Narrow"/>
          <w:color w:val="000000"/>
          <w:sz w:val="22"/>
        </w:rPr>
      </w:pPr>
      <w:r w:rsidRPr="00E57E8C">
        <w:rPr>
          <w:rFonts w:ascii="Arial Narrow" w:hAnsi="Arial Narrow"/>
          <w:color w:val="000000"/>
          <w:sz w:val="22"/>
        </w:rPr>
        <w:t xml:space="preserve">Zagreb, </w:t>
      </w:r>
      <w:r>
        <w:rPr>
          <w:rFonts w:ascii="Arial Narrow" w:hAnsi="Arial Narrow"/>
          <w:color w:val="000000"/>
          <w:sz w:val="22"/>
        </w:rPr>
        <w:t>13. ožujka 2014.</w:t>
      </w:r>
      <w:r w:rsidRPr="00E57E8C">
        <w:rPr>
          <w:rFonts w:ascii="Arial Narrow" w:hAnsi="Arial Narrow"/>
          <w:color w:val="000000"/>
          <w:sz w:val="22"/>
        </w:rPr>
        <w:t xml:space="preserve"> godine</w:t>
      </w:r>
    </w:p>
    <w:p w:rsidR="00BA3E56" w:rsidRDefault="00BA3E56" w:rsidP="00BA3E56">
      <w:pPr>
        <w:ind w:right="-108"/>
        <w:rPr>
          <w:rFonts w:ascii="Arial Narrow" w:hAnsi="Arial Narrow" w:cs="Tahoma"/>
          <w:sz w:val="22"/>
          <w:szCs w:val="22"/>
        </w:rPr>
      </w:pPr>
    </w:p>
    <w:p w:rsidR="00BA3E56" w:rsidRDefault="00BA3E56" w:rsidP="00BA3E56">
      <w:pPr>
        <w:rPr>
          <w:rFonts w:ascii="Arial Narrow" w:hAnsi="Arial Narrow" w:cs="Tahoma"/>
          <w:b/>
          <w:sz w:val="22"/>
          <w:szCs w:val="22"/>
          <w:u w:val="single"/>
        </w:rPr>
      </w:pPr>
    </w:p>
    <w:p w:rsidR="00BA3E56" w:rsidRDefault="00BA3E56" w:rsidP="00BA3E56">
      <w:pPr>
        <w:rPr>
          <w:color w:val="000000"/>
        </w:rPr>
      </w:pPr>
    </w:p>
    <w:p w:rsidR="00BA3E56" w:rsidRDefault="00BA3E56" w:rsidP="00BA3E56">
      <w:pPr>
        <w:rPr>
          <w:color w:val="000000"/>
        </w:rPr>
      </w:pPr>
    </w:p>
    <w:p w:rsidR="00BA3E56" w:rsidRDefault="00BA3E56" w:rsidP="00BA3E56">
      <w:pPr>
        <w:rPr>
          <w:color w:val="000000"/>
        </w:rPr>
      </w:pPr>
    </w:p>
    <w:p w:rsidR="00BA3E56" w:rsidRDefault="00BA3E56" w:rsidP="00BA3E56">
      <w:pPr>
        <w:rPr>
          <w:color w:val="000000"/>
        </w:rPr>
      </w:pPr>
    </w:p>
    <w:bookmarkStart w:id="4" w:name="Naziv_primatelja"/>
    <w:p w:rsidR="00471E37" w:rsidRPr="00791A0D" w:rsidRDefault="00BA3E56" w:rsidP="00791A0D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  <w:r>
        <w:rPr>
          <w:color w:val="000000"/>
        </w:rPr>
        <w:br/>
      </w:r>
      <w:bookmarkStart w:id="5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</w:p>
    <w:sectPr w:rsidR="00471E37" w:rsidRPr="00791A0D" w:rsidSect="002A64A7">
      <w:footerReference w:type="even" r:id="rId11"/>
      <w:footerReference w:type="default" r:id="rId12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FC" w:rsidRDefault="00F231FC">
      <w:r>
        <w:separator/>
      </w:r>
    </w:p>
  </w:endnote>
  <w:endnote w:type="continuationSeparator" w:id="0">
    <w:p w:rsidR="00F231FC" w:rsidRDefault="00F2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0D" w:rsidRDefault="00791A0D" w:rsidP="00466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A0D" w:rsidRDefault="00791A0D" w:rsidP="003B2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0D" w:rsidRDefault="00791A0D" w:rsidP="00466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97D">
      <w:rPr>
        <w:rStyle w:val="PageNumber"/>
        <w:noProof/>
      </w:rPr>
      <w:t>1</w:t>
    </w:r>
    <w:r>
      <w:rPr>
        <w:rStyle w:val="PageNumber"/>
      </w:rPr>
      <w:fldChar w:fldCharType="end"/>
    </w:r>
  </w:p>
  <w:p w:rsidR="00791A0D" w:rsidRDefault="00791A0D" w:rsidP="003B2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FC" w:rsidRDefault="00F231FC">
      <w:r>
        <w:separator/>
      </w:r>
    </w:p>
  </w:footnote>
  <w:footnote w:type="continuationSeparator" w:id="0">
    <w:p w:rsidR="00F231FC" w:rsidRDefault="00F2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DC4"/>
    <w:multiLevelType w:val="hybridMultilevel"/>
    <w:tmpl w:val="20D28360"/>
    <w:lvl w:ilvl="0" w:tplc="041A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1">
    <w:nsid w:val="0343625A"/>
    <w:multiLevelType w:val="hybridMultilevel"/>
    <w:tmpl w:val="C1E8522E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2">
    <w:nsid w:val="047D58C6"/>
    <w:multiLevelType w:val="hybridMultilevel"/>
    <w:tmpl w:val="C2A0022C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3">
    <w:nsid w:val="08BD6C54"/>
    <w:multiLevelType w:val="hybridMultilevel"/>
    <w:tmpl w:val="99CCBA78"/>
    <w:lvl w:ilvl="0" w:tplc="041A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hint="default"/>
      </w:rPr>
    </w:lvl>
  </w:abstractNum>
  <w:abstractNum w:abstractNumId="4">
    <w:nsid w:val="09B0569D"/>
    <w:multiLevelType w:val="hybridMultilevel"/>
    <w:tmpl w:val="CA1E8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042E8"/>
    <w:multiLevelType w:val="hybridMultilevel"/>
    <w:tmpl w:val="F0BA9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D10DB"/>
    <w:multiLevelType w:val="hybridMultilevel"/>
    <w:tmpl w:val="1A466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29102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362E1"/>
    <w:multiLevelType w:val="hybridMultilevel"/>
    <w:tmpl w:val="397A77A0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8">
    <w:nsid w:val="15A9310B"/>
    <w:multiLevelType w:val="hybridMultilevel"/>
    <w:tmpl w:val="C16CF242"/>
    <w:lvl w:ilvl="0" w:tplc="041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>
    <w:nsid w:val="15DC4B42"/>
    <w:multiLevelType w:val="hybridMultilevel"/>
    <w:tmpl w:val="3D7ABBE0"/>
    <w:lvl w:ilvl="0" w:tplc="529CB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839BA"/>
    <w:multiLevelType w:val="hybridMultilevel"/>
    <w:tmpl w:val="0390E6C0"/>
    <w:lvl w:ilvl="0" w:tplc="44781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F65E2B"/>
    <w:multiLevelType w:val="hybridMultilevel"/>
    <w:tmpl w:val="DC347986"/>
    <w:lvl w:ilvl="0" w:tplc="041A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A9A2D2C"/>
    <w:multiLevelType w:val="hybridMultilevel"/>
    <w:tmpl w:val="7F0EE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17B5A"/>
    <w:multiLevelType w:val="hybridMultilevel"/>
    <w:tmpl w:val="D7D0DD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C3475"/>
    <w:multiLevelType w:val="hybridMultilevel"/>
    <w:tmpl w:val="6DC0F8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0A7B23"/>
    <w:multiLevelType w:val="multilevel"/>
    <w:tmpl w:val="BD8EA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E81D81"/>
    <w:multiLevelType w:val="hybridMultilevel"/>
    <w:tmpl w:val="511AD0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57386"/>
    <w:multiLevelType w:val="hybridMultilevel"/>
    <w:tmpl w:val="A0042150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8">
    <w:nsid w:val="2AE95800"/>
    <w:multiLevelType w:val="hybridMultilevel"/>
    <w:tmpl w:val="88269006"/>
    <w:lvl w:ilvl="0" w:tplc="041A000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19">
    <w:nsid w:val="2D710071"/>
    <w:multiLevelType w:val="hybridMultilevel"/>
    <w:tmpl w:val="4DBEE48A"/>
    <w:lvl w:ilvl="0" w:tplc="041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2E930112"/>
    <w:multiLevelType w:val="hybridMultilevel"/>
    <w:tmpl w:val="8FD0A2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A03994"/>
    <w:multiLevelType w:val="hybridMultilevel"/>
    <w:tmpl w:val="5404A1FC"/>
    <w:lvl w:ilvl="0" w:tplc="041A001B" w:tentative="1">
      <w:start w:val="1"/>
      <w:numFmt w:val="lowerRoman"/>
      <w:lvlText w:val="%1."/>
      <w:lvlJc w:val="right"/>
      <w:pPr>
        <w:tabs>
          <w:tab w:val="num" w:pos="3728"/>
        </w:tabs>
        <w:ind w:left="372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034"/>
        </w:tabs>
        <w:ind w:left="303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754"/>
        </w:tabs>
        <w:ind w:left="375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474"/>
        </w:tabs>
        <w:ind w:left="447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94"/>
        </w:tabs>
        <w:ind w:left="519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914"/>
        </w:tabs>
        <w:ind w:left="591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34"/>
        </w:tabs>
        <w:ind w:left="663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54"/>
        </w:tabs>
        <w:ind w:left="735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074"/>
        </w:tabs>
        <w:ind w:left="8074" w:hanging="180"/>
      </w:pPr>
    </w:lvl>
  </w:abstractNum>
  <w:abstractNum w:abstractNumId="22">
    <w:nsid w:val="320118DD"/>
    <w:multiLevelType w:val="multilevel"/>
    <w:tmpl w:val="AD402586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3">
    <w:nsid w:val="3865312D"/>
    <w:multiLevelType w:val="hybridMultilevel"/>
    <w:tmpl w:val="A84A99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FC5B92"/>
    <w:multiLevelType w:val="hybridMultilevel"/>
    <w:tmpl w:val="958241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B7472B"/>
    <w:multiLevelType w:val="hybridMultilevel"/>
    <w:tmpl w:val="3EB89B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33AD0"/>
    <w:multiLevelType w:val="hybridMultilevel"/>
    <w:tmpl w:val="1206BB30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7">
    <w:nsid w:val="42E2215D"/>
    <w:multiLevelType w:val="hybridMultilevel"/>
    <w:tmpl w:val="175CA7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A661DB"/>
    <w:multiLevelType w:val="hybridMultilevel"/>
    <w:tmpl w:val="BC6E3ABE"/>
    <w:lvl w:ilvl="0" w:tplc="5C4C4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535094"/>
    <w:multiLevelType w:val="hybridMultilevel"/>
    <w:tmpl w:val="2C66CAA4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4"/>
        </w:tabs>
        <w:ind w:left="28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4"/>
        </w:tabs>
        <w:ind w:left="35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4"/>
        </w:tabs>
        <w:ind w:left="42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4"/>
        </w:tabs>
        <w:ind w:left="50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4"/>
        </w:tabs>
        <w:ind w:left="57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4"/>
        </w:tabs>
        <w:ind w:left="64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4"/>
        </w:tabs>
        <w:ind w:left="7174" w:hanging="360"/>
      </w:pPr>
      <w:rPr>
        <w:rFonts w:ascii="Wingdings" w:hAnsi="Wingdings" w:hint="default"/>
      </w:rPr>
    </w:lvl>
  </w:abstractNum>
  <w:abstractNum w:abstractNumId="30">
    <w:nsid w:val="4CB27F3F"/>
    <w:multiLevelType w:val="hybridMultilevel"/>
    <w:tmpl w:val="C62AD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DD0C20"/>
    <w:multiLevelType w:val="hybridMultilevel"/>
    <w:tmpl w:val="9C4CA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066D42"/>
    <w:multiLevelType w:val="hybridMultilevel"/>
    <w:tmpl w:val="CBEE15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F7674"/>
    <w:multiLevelType w:val="hybridMultilevel"/>
    <w:tmpl w:val="46D6F47E"/>
    <w:lvl w:ilvl="0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34">
    <w:nsid w:val="5DA41C69"/>
    <w:multiLevelType w:val="hybridMultilevel"/>
    <w:tmpl w:val="43100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AC042C"/>
    <w:multiLevelType w:val="hybridMultilevel"/>
    <w:tmpl w:val="E61A20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33585"/>
    <w:multiLevelType w:val="hybridMultilevel"/>
    <w:tmpl w:val="D21857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571C3"/>
    <w:multiLevelType w:val="hybridMultilevel"/>
    <w:tmpl w:val="7ABE410C"/>
    <w:lvl w:ilvl="0" w:tplc="041A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A0001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6"/>
  </w:num>
  <w:num w:numId="5">
    <w:abstractNumId w:val="37"/>
  </w:num>
  <w:num w:numId="6">
    <w:abstractNumId w:val="21"/>
  </w:num>
  <w:num w:numId="7">
    <w:abstractNumId w:val="5"/>
  </w:num>
  <w:num w:numId="8">
    <w:abstractNumId w:val="18"/>
  </w:num>
  <w:num w:numId="9">
    <w:abstractNumId w:val="22"/>
  </w:num>
  <w:num w:numId="10">
    <w:abstractNumId w:val="35"/>
  </w:num>
  <w:num w:numId="11">
    <w:abstractNumId w:val="1"/>
  </w:num>
  <w:num w:numId="12">
    <w:abstractNumId w:val="2"/>
  </w:num>
  <w:num w:numId="13">
    <w:abstractNumId w:val="29"/>
  </w:num>
  <w:num w:numId="14">
    <w:abstractNumId w:val="7"/>
  </w:num>
  <w:num w:numId="15">
    <w:abstractNumId w:val="33"/>
  </w:num>
  <w:num w:numId="16">
    <w:abstractNumId w:val="3"/>
  </w:num>
  <w:num w:numId="17">
    <w:abstractNumId w:val="0"/>
  </w:num>
  <w:num w:numId="18">
    <w:abstractNumId w:val="25"/>
  </w:num>
  <w:num w:numId="19">
    <w:abstractNumId w:val="27"/>
  </w:num>
  <w:num w:numId="20">
    <w:abstractNumId w:val="34"/>
  </w:num>
  <w:num w:numId="21">
    <w:abstractNumId w:val="13"/>
  </w:num>
  <w:num w:numId="22">
    <w:abstractNumId w:val="10"/>
  </w:num>
  <w:num w:numId="23">
    <w:abstractNumId w:val="11"/>
  </w:num>
  <w:num w:numId="24">
    <w:abstractNumId w:val="20"/>
  </w:num>
  <w:num w:numId="25">
    <w:abstractNumId w:val="4"/>
  </w:num>
  <w:num w:numId="26">
    <w:abstractNumId w:val="15"/>
  </w:num>
  <w:num w:numId="27">
    <w:abstractNumId w:val="23"/>
  </w:num>
  <w:num w:numId="28">
    <w:abstractNumId w:val="31"/>
  </w:num>
  <w:num w:numId="29">
    <w:abstractNumId w:val="36"/>
  </w:num>
  <w:num w:numId="30">
    <w:abstractNumId w:val="30"/>
  </w:num>
  <w:num w:numId="31">
    <w:abstractNumId w:val="16"/>
  </w:num>
  <w:num w:numId="32">
    <w:abstractNumId w:val="14"/>
  </w:num>
  <w:num w:numId="33">
    <w:abstractNumId w:val="9"/>
  </w:num>
  <w:num w:numId="34">
    <w:abstractNumId w:val="28"/>
  </w:num>
  <w:num w:numId="35">
    <w:abstractNumId w:val="12"/>
  </w:num>
  <w:num w:numId="36">
    <w:abstractNumId w:val="32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37"/>
    <w:rsid w:val="00002139"/>
    <w:rsid w:val="00016A71"/>
    <w:rsid w:val="00022E69"/>
    <w:rsid w:val="000240CE"/>
    <w:rsid w:val="000364B9"/>
    <w:rsid w:val="000745A9"/>
    <w:rsid w:val="000A6BA9"/>
    <w:rsid w:val="000A7352"/>
    <w:rsid w:val="000B5184"/>
    <w:rsid w:val="000E557D"/>
    <w:rsid w:val="000E56E9"/>
    <w:rsid w:val="000E73F2"/>
    <w:rsid w:val="000F0494"/>
    <w:rsid w:val="000F5278"/>
    <w:rsid w:val="00101553"/>
    <w:rsid w:val="00107E23"/>
    <w:rsid w:val="001477DE"/>
    <w:rsid w:val="00155F12"/>
    <w:rsid w:val="001575A0"/>
    <w:rsid w:val="001633E5"/>
    <w:rsid w:val="00170386"/>
    <w:rsid w:val="00171290"/>
    <w:rsid w:val="00186430"/>
    <w:rsid w:val="00187583"/>
    <w:rsid w:val="001A49E1"/>
    <w:rsid w:val="001C10C9"/>
    <w:rsid w:val="001D28DF"/>
    <w:rsid w:val="001D69D1"/>
    <w:rsid w:val="001E6928"/>
    <w:rsid w:val="001F30B9"/>
    <w:rsid w:val="00231CC0"/>
    <w:rsid w:val="002369EF"/>
    <w:rsid w:val="0027123B"/>
    <w:rsid w:val="00292E78"/>
    <w:rsid w:val="002A34FA"/>
    <w:rsid w:val="002A425A"/>
    <w:rsid w:val="002A64A7"/>
    <w:rsid w:val="002A6FBC"/>
    <w:rsid w:val="002E0872"/>
    <w:rsid w:val="002E7215"/>
    <w:rsid w:val="002F1476"/>
    <w:rsid w:val="002F6C4D"/>
    <w:rsid w:val="00306712"/>
    <w:rsid w:val="0031342C"/>
    <w:rsid w:val="00376521"/>
    <w:rsid w:val="00387313"/>
    <w:rsid w:val="00390A71"/>
    <w:rsid w:val="003B2BB3"/>
    <w:rsid w:val="003B2F2B"/>
    <w:rsid w:val="003D3A6D"/>
    <w:rsid w:val="003F0602"/>
    <w:rsid w:val="003F6584"/>
    <w:rsid w:val="00460F3D"/>
    <w:rsid w:val="00466A5C"/>
    <w:rsid w:val="00471E37"/>
    <w:rsid w:val="00484A57"/>
    <w:rsid w:val="00485BB9"/>
    <w:rsid w:val="004B54F4"/>
    <w:rsid w:val="004B7FEC"/>
    <w:rsid w:val="004D335B"/>
    <w:rsid w:val="004E7B5D"/>
    <w:rsid w:val="004F2787"/>
    <w:rsid w:val="004F54D9"/>
    <w:rsid w:val="00547602"/>
    <w:rsid w:val="00553FEC"/>
    <w:rsid w:val="005701D2"/>
    <w:rsid w:val="00571CD2"/>
    <w:rsid w:val="00577795"/>
    <w:rsid w:val="00583310"/>
    <w:rsid w:val="005925C0"/>
    <w:rsid w:val="005B3B32"/>
    <w:rsid w:val="005E5D5C"/>
    <w:rsid w:val="005E65A8"/>
    <w:rsid w:val="0062675E"/>
    <w:rsid w:val="0064033B"/>
    <w:rsid w:val="00644DDB"/>
    <w:rsid w:val="00671962"/>
    <w:rsid w:val="006736A1"/>
    <w:rsid w:val="00685FF2"/>
    <w:rsid w:val="0069335B"/>
    <w:rsid w:val="00694D98"/>
    <w:rsid w:val="006B3E17"/>
    <w:rsid w:val="006C2A6C"/>
    <w:rsid w:val="006C392F"/>
    <w:rsid w:val="006C6306"/>
    <w:rsid w:val="006C7E7C"/>
    <w:rsid w:val="006F3E62"/>
    <w:rsid w:val="00713324"/>
    <w:rsid w:val="00745973"/>
    <w:rsid w:val="00785C0A"/>
    <w:rsid w:val="00791A0D"/>
    <w:rsid w:val="007A3ECB"/>
    <w:rsid w:val="007B7753"/>
    <w:rsid w:val="007C019F"/>
    <w:rsid w:val="007C7D16"/>
    <w:rsid w:val="007D5EF4"/>
    <w:rsid w:val="007E62D2"/>
    <w:rsid w:val="008059AE"/>
    <w:rsid w:val="008634DE"/>
    <w:rsid w:val="00871E08"/>
    <w:rsid w:val="00884B68"/>
    <w:rsid w:val="0089199A"/>
    <w:rsid w:val="008A1FE9"/>
    <w:rsid w:val="008B3881"/>
    <w:rsid w:val="008B497D"/>
    <w:rsid w:val="008B6A07"/>
    <w:rsid w:val="008C2396"/>
    <w:rsid w:val="008C573C"/>
    <w:rsid w:val="008D7BDF"/>
    <w:rsid w:val="008E002C"/>
    <w:rsid w:val="00937D74"/>
    <w:rsid w:val="00940B3A"/>
    <w:rsid w:val="00980CA3"/>
    <w:rsid w:val="009865EF"/>
    <w:rsid w:val="009D138A"/>
    <w:rsid w:val="009E15CE"/>
    <w:rsid w:val="009E1CEC"/>
    <w:rsid w:val="009E2A26"/>
    <w:rsid w:val="009F55F0"/>
    <w:rsid w:val="00A166DA"/>
    <w:rsid w:val="00A37CDA"/>
    <w:rsid w:val="00A44AE4"/>
    <w:rsid w:val="00A52E60"/>
    <w:rsid w:val="00A655BE"/>
    <w:rsid w:val="00A71CC9"/>
    <w:rsid w:val="00AA772D"/>
    <w:rsid w:val="00AC568F"/>
    <w:rsid w:val="00AE6C6F"/>
    <w:rsid w:val="00AF6A77"/>
    <w:rsid w:val="00B20977"/>
    <w:rsid w:val="00B24328"/>
    <w:rsid w:val="00B404BB"/>
    <w:rsid w:val="00B43BA7"/>
    <w:rsid w:val="00B74E3F"/>
    <w:rsid w:val="00B770D4"/>
    <w:rsid w:val="00B96998"/>
    <w:rsid w:val="00BA3E56"/>
    <w:rsid w:val="00BB2C25"/>
    <w:rsid w:val="00BB4B82"/>
    <w:rsid w:val="00BD2598"/>
    <w:rsid w:val="00BD6B6F"/>
    <w:rsid w:val="00BE35D0"/>
    <w:rsid w:val="00BE4FB7"/>
    <w:rsid w:val="00C1232A"/>
    <w:rsid w:val="00C212AB"/>
    <w:rsid w:val="00C36124"/>
    <w:rsid w:val="00C55C4B"/>
    <w:rsid w:val="00C57B32"/>
    <w:rsid w:val="00C616A4"/>
    <w:rsid w:val="00C6336D"/>
    <w:rsid w:val="00C721A7"/>
    <w:rsid w:val="00C729B0"/>
    <w:rsid w:val="00C73153"/>
    <w:rsid w:val="00C77ADD"/>
    <w:rsid w:val="00C8671D"/>
    <w:rsid w:val="00CA07F9"/>
    <w:rsid w:val="00CA36B3"/>
    <w:rsid w:val="00CA3ACC"/>
    <w:rsid w:val="00CA4482"/>
    <w:rsid w:val="00CB5A91"/>
    <w:rsid w:val="00CC6B07"/>
    <w:rsid w:val="00CE33D6"/>
    <w:rsid w:val="00D03ACF"/>
    <w:rsid w:val="00D05DFF"/>
    <w:rsid w:val="00D44005"/>
    <w:rsid w:val="00D54ADC"/>
    <w:rsid w:val="00DB0B19"/>
    <w:rsid w:val="00DB3A32"/>
    <w:rsid w:val="00DB681E"/>
    <w:rsid w:val="00DC00BF"/>
    <w:rsid w:val="00DD317E"/>
    <w:rsid w:val="00DE7354"/>
    <w:rsid w:val="00E230A5"/>
    <w:rsid w:val="00E26E0A"/>
    <w:rsid w:val="00E40925"/>
    <w:rsid w:val="00E479EC"/>
    <w:rsid w:val="00E95C1E"/>
    <w:rsid w:val="00EA1EDB"/>
    <w:rsid w:val="00EA7A42"/>
    <w:rsid w:val="00EB0EE6"/>
    <w:rsid w:val="00EB7990"/>
    <w:rsid w:val="00EE4902"/>
    <w:rsid w:val="00EF0B62"/>
    <w:rsid w:val="00EF0D9C"/>
    <w:rsid w:val="00EF1127"/>
    <w:rsid w:val="00F12C4A"/>
    <w:rsid w:val="00F21ECA"/>
    <w:rsid w:val="00F231FC"/>
    <w:rsid w:val="00F37EC5"/>
    <w:rsid w:val="00F41186"/>
    <w:rsid w:val="00F71D20"/>
    <w:rsid w:val="00F73426"/>
    <w:rsid w:val="00F7572D"/>
    <w:rsid w:val="00F7609C"/>
    <w:rsid w:val="00FA0BCF"/>
    <w:rsid w:val="00FA6C1C"/>
    <w:rsid w:val="00FB0AD0"/>
    <w:rsid w:val="00FD624F"/>
    <w:rsid w:val="00FD750B"/>
    <w:rsid w:val="00FF2BFC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6B07"/>
    <w:rPr>
      <w:color w:val="0000FF"/>
      <w:u w:val="single"/>
    </w:rPr>
  </w:style>
  <w:style w:type="paragraph" w:styleId="BalloonText">
    <w:name w:val="Balloon Text"/>
    <w:basedOn w:val="Normal"/>
    <w:semiHidden/>
    <w:rsid w:val="00B243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B2B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C6B07"/>
    <w:rPr>
      <w:color w:val="0000FF"/>
      <w:u w:val="single"/>
    </w:rPr>
  </w:style>
  <w:style w:type="paragraph" w:styleId="BalloonText">
    <w:name w:val="Balloon Text"/>
    <w:basedOn w:val="Normal"/>
    <w:semiHidden/>
    <w:rsid w:val="00B243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B2B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Strategije razvoja turizma Republike Hrvatske do  2020</vt:lpstr>
      <vt:lpstr>Na temelju Strategije razvoja turizma Republike Hrvatske do  2020</vt:lpstr>
    </vt:vector>
  </TitlesOfParts>
  <Company>MMPI-MINT</Company>
  <LinksUpToDate>false</LinksUpToDate>
  <CharactersWithSpaces>8277</CharactersWithSpaces>
  <SharedDoc>false</SharedDoc>
  <HLinks>
    <vt:vector size="18" baseType="variant"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Strategije razvoja turizma Republike Hrvatske do  2020</dc:title>
  <dc:creator>mstaraj</dc:creator>
  <cp:lastModifiedBy>Bosiljko Domazet</cp:lastModifiedBy>
  <cp:revision>2</cp:revision>
  <cp:lastPrinted>2014-03-12T15:26:00Z</cp:lastPrinted>
  <dcterms:created xsi:type="dcterms:W3CDTF">2014-03-13T15:46:00Z</dcterms:created>
  <dcterms:modified xsi:type="dcterms:W3CDTF">2014-03-13T15:46:00Z</dcterms:modified>
</cp:coreProperties>
</file>