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0013" w14:textId="2E470348" w:rsidR="006860E6" w:rsidRPr="00AC6562" w:rsidRDefault="006860E6" w:rsidP="006860E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AC656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5136CE9D" w14:textId="77777777" w:rsidR="006860E6" w:rsidRPr="00AC6562" w:rsidRDefault="006860E6" w:rsidP="006860E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3EA144A9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6860E6" w:rsidRPr="00AC6562" w14:paraId="1BA81EA2" w14:textId="77777777">
        <w:tc>
          <w:tcPr>
            <w:tcW w:w="9016" w:type="dxa"/>
            <w:gridSpan w:val="6"/>
            <w:shd w:val="clear" w:color="auto" w:fill="FFC000"/>
            <w:vAlign w:val="center"/>
          </w:tcPr>
          <w:p w14:paraId="4BD3E940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6860E6" w:rsidRPr="00AC6562" w14:paraId="3F71808B" w14:textId="77777777">
        <w:tc>
          <w:tcPr>
            <w:tcW w:w="3256" w:type="dxa"/>
            <w:vMerge w:val="restart"/>
            <w:vAlign w:val="center"/>
          </w:tcPr>
          <w:p w14:paraId="1BABF34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2EA10778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2A85929" w14:textId="386AC322" w:rsidR="006860E6" w:rsidRPr="00AC6562" w:rsidRDefault="006860E6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790DC469" w14:textId="77777777">
        <w:tc>
          <w:tcPr>
            <w:tcW w:w="3256" w:type="dxa"/>
            <w:vMerge/>
            <w:vAlign w:val="center"/>
          </w:tcPr>
          <w:p w14:paraId="005D17B6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351F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34C816C" w14:textId="4E34A34B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2EC46321" w14:textId="77777777">
        <w:tc>
          <w:tcPr>
            <w:tcW w:w="3256" w:type="dxa"/>
            <w:vMerge w:val="restart"/>
            <w:vAlign w:val="center"/>
          </w:tcPr>
          <w:p w14:paraId="2034DAAD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26B5E582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2B326AB8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4834DB0D" w14:textId="35AC2793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2C5729E5" w14:textId="77777777">
        <w:tc>
          <w:tcPr>
            <w:tcW w:w="3256" w:type="dxa"/>
            <w:vMerge/>
            <w:vAlign w:val="center"/>
          </w:tcPr>
          <w:p w14:paraId="3F1BC7EC" w14:textId="77777777" w:rsidR="006860E6" w:rsidRPr="00AC6562" w:rsidRDefault="006860E6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27D187E5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6860E6" w:rsidRPr="00AC6562" w14:paraId="389ADEDE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26EEF788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66808391" w14:textId="77777777">
        <w:tc>
          <w:tcPr>
            <w:tcW w:w="3256" w:type="dxa"/>
            <w:vAlign w:val="center"/>
          </w:tcPr>
          <w:p w14:paraId="2864C8E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D7C5974" w14:textId="2BB9506E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58389B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Izra</w:t>
            </w:r>
            <w:r w:rsidR="00A310EF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da</w:t>
            </w:r>
            <w:r w:rsidR="0058389B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sadržaja za digitalne komunikacijske kanale</w:t>
            </w:r>
            <w:r w:rsidR="00536BAA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u turizmu</w:t>
            </w:r>
          </w:p>
        </w:tc>
      </w:tr>
      <w:tr w:rsidR="006860E6" w:rsidRPr="00AC6562" w14:paraId="3C79145C" w14:textId="77777777">
        <w:tc>
          <w:tcPr>
            <w:tcW w:w="3256" w:type="dxa"/>
            <w:vAlign w:val="center"/>
          </w:tcPr>
          <w:p w14:paraId="6B443601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32D8A685" w14:textId="4CD940DE" w:rsidR="006860E6" w:rsidRPr="00AC6562" w:rsidRDefault="00F514D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75</w:t>
            </w:r>
            <w:r w:rsidR="006860E6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6860E6" w:rsidRPr="00AC6562" w14:paraId="2F808CE8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0C0ED14F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3354925B" w14:textId="77777777">
        <w:tc>
          <w:tcPr>
            <w:tcW w:w="3256" w:type="dxa"/>
            <w:vAlign w:val="center"/>
          </w:tcPr>
          <w:p w14:paraId="71AA6583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31054C80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6860E6" w:rsidRPr="00AC6562" w14:paraId="676238A2" w14:textId="77777777">
        <w:tc>
          <w:tcPr>
            <w:tcW w:w="3256" w:type="dxa"/>
            <w:vAlign w:val="center"/>
          </w:tcPr>
          <w:p w14:paraId="4E7F8E51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73D91416" w14:textId="77777777" w:rsidR="00615E83" w:rsidRPr="00357AB0" w:rsidRDefault="00BA691D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>Primijeniti IKT u poslovnoj komunikaciji</w:t>
            </w:r>
          </w:p>
          <w:p w14:paraId="17A82FFA" w14:textId="23E2DC91" w:rsidR="00511592" w:rsidRPr="005E498B" w:rsidRDefault="0014510E" w:rsidP="00536BAA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0" w:history="1">
              <w:r w:rsidR="00BA691D" w:rsidRPr="005E498B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https://vjestine.hzz.hr/sector/skill/1322</w:t>
              </w:r>
            </w:hyperlink>
            <w:r w:rsidR="00BA691D" w:rsidRPr="005E498B">
              <w:rPr>
                <w:rFonts w:ascii="Calibri Light" w:eastAsia="Calibri" w:hAnsi="Calibri Light" w:cs="Calibri Light"/>
                <w:color w:val="156082" w:themeColor="accent1"/>
                <w:sz w:val="20"/>
              </w:rPr>
              <w:t xml:space="preserve"> </w:t>
            </w:r>
          </w:p>
          <w:p w14:paraId="3FE84047" w14:textId="18F7161B" w:rsidR="00511592" w:rsidRPr="00357AB0" w:rsidRDefault="00511592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  <w:t>Koristiti IKT za marketing</w:t>
            </w:r>
          </w:p>
          <w:p w14:paraId="372A83AB" w14:textId="45E27306" w:rsidR="00557DA0" w:rsidRPr="005E498B" w:rsidRDefault="0014510E" w:rsidP="00536BAA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1" w:history="1">
              <w:r w:rsidR="00511592" w:rsidRPr="005E498B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https://vjestine.hzz.hr/sector/skill/1328</w:t>
              </w:r>
            </w:hyperlink>
          </w:p>
          <w:p w14:paraId="1AC9AA38" w14:textId="138140D3" w:rsidR="00557DA0" w:rsidRPr="00357AB0" w:rsidRDefault="00557DA0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  <w:t>Koristiti se platformama za e-turizam</w:t>
            </w:r>
          </w:p>
          <w:p w14:paraId="0E838A6D" w14:textId="5693E39D" w:rsidR="00FD4EEB" w:rsidRPr="005E498B" w:rsidRDefault="0014510E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hyperlink r:id="rId12" w:history="1">
              <w:r w:rsidR="00FD4EEB" w:rsidRPr="003718B4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https://vjestine.hzz.hr/sector/skill/4405</w:t>
              </w:r>
            </w:hyperlink>
          </w:p>
        </w:tc>
      </w:tr>
      <w:tr w:rsidR="006860E6" w:rsidRPr="00AC6562" w14:paraId="75AB4400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E23922B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6860E6" w:rsidRPr="00AC6562" w14:paraId="0039F2F4" w14:textId="77777777">
        <w:tc>
          <w:tcPr>
            <w:tcW w:w="9016" w:type="dxa"/>
            <w:gridSpan w:val="6"/>
            <w:shd w:val="clear" w:color="auto" w:fill="D9D9D9"/>
            <w:vAlign w:val="center"/>
          </w:tcPr>
          <w:p w14:paraId="465C9FAC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A666412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7519F787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6860E6" w:rsidRPr="00AC6562" w14:paraId="4B89F3D2" w14:textId="77777777">
        <w:tc>
          <w:tcPr>
            <w:tcW w:w="4531" w:type="dxa"/>
            <w:gridSpan w:val="3"/>
            <w:vAlign w:val="center"/>
          </w:tcPr>
          <w:p w14:paraId="4A2A2653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E0D1405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66C5F22F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52E8E444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AC6562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073B43" w:rsidRPr="00AC6562" w14:paraId="04383E21" w14:textId="77777777" w:rsidTr="00630497">
        <w:tc>
          <w:tcPr>
            <w:tcW w:w="4531" w:type="dxa"/>
            <w:gridSpan w:val="3"/>
          </w:tcPr>
          <w:p w14:paraId="1735AA33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SZ: Voditelj / Voditeljica poslova u turističkoj destinaciji</w:t>
            </w:r>
          </w:p>
          <w:p w14:paraId="00CF19EF" w14:textId="77777777" w:rsidR="00073B43" w:rsidRPr="00AC6562" w:rsidRDefault="0014510E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https://hko.srce.hr/registar/standard-zanimanja/detalji/323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4228A2B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C1B4AC5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SKOMP: Kreiranje, promocija i prodaja proizvoda u turističkoj destinaciji</w:t>
            </w:r>
          </w:p>
          <w:p w14:paraId="1E1040EC" w14:textId="77777777" w:rsidR="00073B43" w:rsidRPr="00AC6562" w:rsidRDefault="0014510E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https://hko.srce.hr/registar/skup-kompetencija/detalji/2669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0975554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78B16F2C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A02EE55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Kreirati novi turistički proizvod</w:t>
            </w:r>
          </w:p>
          <w:p w14:paraId="6D7E1CC0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Prikazati posebne karakteristike turističkog proizvoda i formirati cijene u suradnji s odjelom marketinga i prodaje</w:t>
            </w:r>
          </w:p>
          <w:p w14:paraId="1A21E4D8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2154E5F2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  <w:p w14:paraId="51064696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Informirati turiste o ponudi turističke destinacije</w:t>
            </w:r>
          </w:p>
          <w:p w14:paraId="78CEC1E1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Prikupljati dnevna, tjedna i mjesečna izvješća, radi obrade podataka o turističkom prometu na području turističkih destinacija</w:t>
            </w:r>
          </w:p>
          <w:p w14:paraId="2EF0C954" w14:textId="77777777" w:rsidR="00B97D9C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Obraditi prikupljene podatke radi praćenje izvršenja postavljenih ciljeva i zadaća</w:t>
            </w:r>
          </w:p>
          <w:p w14:paraId="1C93743C" w14:textId="66686744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Ocijeniti ostvarenja programa rada i financijskog plana turističke destinacije</w:t>
            </w:r>
          </w:p>
        </w:tc>
        <w:tc>
          <w:tcPr>
            <w:tcW w:w="4485" w:type="dxa"/>
            <w:gridSpan w:val="3"/>
          </w:tcPr>
          <w:p w14:paraId="4E4E8E0B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SK: Suradnik za kreiranje marketinških sadržaja u turizmu / Suradnica za kreiranje marketinških sadržaja u turizmu</w:t>
            </w:r>
          </w:p>
          <w:p w14:paraId="36AC1CE1" w14:textId="77777777" w:rsidR="00073B43" w:rsidRPr="00AC6562" w:rsidRDefault="0014510E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https://hko.srce.hr/registar/standard-kvalifikacije/detalji/219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3DCB843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595919F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SIU: Izrada sadržaja za digitalne komunikacijske kanale</w:t>
            </w:r>
          </w:p>
          <w:p w14:paraId="16004BD8" w14:textId="77777777" w:rsidR="00073B43" w:rsidRPr="00AC6562" w:rsidRDefault="0014510E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https://hko.srce.hr/registar/skup-ishoda-ucenja/detalji/7118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46A5119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1DB5E554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62B98A9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alate za istraživanje trendova ponašanja korisnika na internetu u turističkom sektoru</w:t>
            </w:r>
          </w:p>
          <w:p w14:paraId="318C80BC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arhitekturu informacija za internet sjedište turističkog brenda</w:t>
            </w:r>
          </w:p>
          <w:p w14:paraId="76337101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različite vrste sadržaja (blog, tipična stranica) za internet sjedište turističkog brenda prema definiranoj arhitekturi informacija</w:t>
            </w:r>
          </w:p>
          <w:p w14:paraId="2E8322DC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sadržaj i elemente prodajnog lijevka na internet sjedištu turističkog brenda</w:t>
            </w:r>
          </w:p>
          <w:p w14:paraId="77DD102F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Odabrati relevantne teme za izradu plana komunikacije na društvenim mrežama za ciljanu publiku turističkog brenda</w:t>
            </w:r>
          </w:p>
          <w:p w14:paraId="76C2D91A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urednički kalendar sadržaja za različite komunikacijske kanale za turistički brend</w:t>
            </w:r>
          </w:p>
          <w:p w14:paraId="2C0FA85E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elemente pripovijedanja (storytelling) u izradi sadržaja za društvene mreže, blog, e-mail i članke</w:t>
            </w:r>
          </w:p>
          <w:p w14:paraId="6FBAE39B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sadržaj za profile na stranicama za promociju turizma i društvenim mrežama</w:t>
            </w:r>
          </w:p>
          <w:p w14:paraId="2229DA9F" w14:textId="77777777" w:rsidR="00BF427B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promotivni tekstualni sadržaj prilagođen zadanim okvirima i pravilima oglašavanja na internetskim tražilicama, oglašivačkim i društvenim mrežama</w:t>
            </w:r>
          </w:p>
          <w:p w14:paraId="5FDEDFB0" w14:textId="3EDC3D56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plan krizne komunikacije za turistički brend na digitalnim komunikacijskim kanalima</w:t>
            </w:r>
          </w:p>
        </w:tc>
      </w:tr>
      <w:tr w:rsidR="009E406B" w:rsidRPr="00AC6562" w14:paraId="78EFA4E7" w14:textId="77777777" w:rsidTr="00F55B2F">
        <w:trPr>
          <w:trHeight w:val="3251"/>
        </w:trPr>
        <w:tc>
          <w:tcPr>
            <w:tcW w:w="4531" w:type="dxa"/>
            <w:gridSpan w:val="3"/>
          </w:tcPr>
          <w:p w14:paraId="316552EB" w14:textId="77777777" w:rsidR="009E406B" w:rsidRPr="00AC6562" w:rsidRDefault="00DB7181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SZ Specijalist/Specijalistica razvoja ruralnog turizma</w:t>
            </w:r>
          </w:p>
          <w:p w14:paraId="6CC96768" w14:textId="77777777" w:rsidR="00B97D9C" w:rsidRPr="00AC6562" w:rsidRDefault="0014510E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7" w:history="1">
              <w:r w:rsidR="00B97D9C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https://hko.srce.hr/registar/standard-zanimanja/detalji/191</w:t>
              </w:r>
            </w:hyperlink>
            <w:r w:rsidR="00B97D9C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D7C4C70" w14:textId="77777777" w:rsidR="007654C2" w:rsidRPr="00AC6562" w:rsidRDefault="007654C2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2491911" w14:textId="20D009C1" w:rsidR="007654C2" w:rsidRPr="00AC6562" w:rsidRDefault="007654C2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SKOMP:</w:t>
            </w:r>
            <w:r w:rsidR="008C16E4" w:rsidRPr="00AC6562">
              <w:t xml:space="preserve"> </w:t>
            </w:r>
            <w:r w:rsidR="008C16E4"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Primjena informacijsko komunikacijskih tehnologija</w:t>
            </w:r>
          </w:p>
          <w:p w14:paraId="732B9728" w14:textId="5DC4C93A" w:rsidR="008C16E4" w:rsidRPr="00AC6562" w:rsidRDefault="0014510E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8" w:history="1">
              <w:r w:rsidR="00D23B97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https://hko.srce.hr/registar/skup-kompetencija/detalji/1652</w:t>
              </w:r>
            </w:hyperlink>
            <w:r w:rsidR="00D23B97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375BC9C" w14:textId="43998261" w:rsidR="007654C2" w:rsidRPr="00AC6562" w:rsidRDefault="007654C2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0C5BE0D8" w14:textId="77777777" w:rsidR="00C24784" w:rsidRPr="00AC6562" w:rsidRDefault="00C24784" w:rsidP="00C2478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6E63C90" w14:textId="7EE05DF3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IKT u istraživanju mogućnosti razvoja ruralnog turizma</w:t>
            </w:r>
          </w:p>
          <w:p w14:paraId="0E4FA0F2" w14:textId="0AC0C9DD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IKT pri planiranju tematskih ponuda</w:t>
            </w:r>
          </w:p>
          <w:p w14:paraId="2429008A" w14:textId="6C9EB3EF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poznavati e-poslovanje u poslovnom okruženju</w:t>
            </w:r>
          </w:p>
          <w:p w14:paraId="16F4CBA7" w14:textId="1880665D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IKT za organizaciju pojedinih aktivnosti ponude ruralnog turizma</w:t>
            </w:r>
          </w:p>
          <w:p w14:paraId="48697B9C" w14:textId="7BFA8EF3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portale za smještaj (Booking, Trip Advisor, Airbnb)</w:t>
            </w:r>
          </w:p>
          <w:p w14:paraId="593B049A" w14:textId="05C89C00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društvene mreže u svrhu promocije seoskog turizma</w:t>
            </w:r>
          </w:p>
          <w:p w14:paraId="3AC5BBC8" w14:textId="482C7B1C" w:rsidR="007654C2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informacijsko komunikacijsku tehnologiju u organizacijskim aktivnostima</w:t>
            </w:r>
          </w:p>
        </w:tc>
        <w:tc>
          <w:tcPr>
            <w:tcW w:w="4485" w:type="dxa"/>
            <w:gridSpan w:val="3"/>
          </w:tcPr>
          <w:p w14:paraId="4EC1B954" w14:textId="583E5BA8" w:rsidR="009E406B" w:rsidRPr="00AC6562" w:rsidRDefault="009E406B" w:rsidP="009E406B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14C94" w:rsidRPr="00AC6562" w14:paraId="0E0C2FF1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2EECBC6" w14:textId="77777777" w:rsidR="00914C94" w:rsidRPr="00AC6562" w:rsidRDefault="00914C94" w:rsidP="00914C9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14C94" w:rsidRPr="00AC6562" w14:paraId="10B6248C" w14:textId="77777777" w:rsidTr="00717758">
        <w:tc>
          <w:tcPr>
            <w:tcW w:w="3256" w:type="dxa"/>
            <w:vMerge w:val="restart"/>
            <w:vAlign w:val="center"/>
          </w:tcPr>
          <w:p w14:paraId="0497EF3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53BFFEF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07A46315" w14:textId="77777777" w:rsidR="00914C94" w:rsidRPr="00AC6562" w:rsidRDefault="00914C94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4879D5F3" w14:textId="77777777" w:rsidR="00914C94" w:rsidRPr="00AC6562" w:rsidRDefault="00914C94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511A366" w14:textId="03DD69D0" w:rsidR="00914C94" w:rsidRPr="00AC6562" w:rsidRDefault="000C5FCC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14510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914C94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914C94" w:rsidRPr="00AC656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914C94" w:rsidRPr="00AC6562" w14:paraId="4777D4B4" w14:textId="77777777">
        <w:tc>
          <w:tcPr>
            <w:tcW w:w="3256" w:type="dxa"/>
            <w:vMerge/>
            <w:vAlign w:val="center"/>
          </w:tcPr>
          <w:p w14:paraId="36A4D3F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6C63B085" w14:textId="77777777" w:rsidR="00914C94" w:rsidRPr="00AC6562" w:rsidRDefault="00914C94" w:rsidP="00914C9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914C94" w:rsidRPr="00AC6562" w14:paraId="54EE71A2" w14:textId="77777777">
        <w:tc>
          <w:tcPr>
            <w:tcW w:w="3256" w:type="dxa"/>
            <w:vMerge/>
            <w:vAlign w:val="center"/>
          </w:tcPr>
          <w:p w14:paraId="5B27D6EE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41F7053B" w14:textId="6922F7E9" w:rsidR="00062945" w:rsidRPr="00AC6562" w:rsidRDefault="00062945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CB0EA0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Izrada sadržaja za digitalne komunikacijske kanale u turizmu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koristi </w:t>
            </w:r>
            <w:r w:rsidR="00A635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izvođenja. 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Cilj programa je omogućiti polaznicima stjecanje znanja i vještina potrebnih za istraživanje, kreiranje i promociju sadržaja na digitalnim komunikacijskim kanalima koji pridonose uspješnoj promociji turističkih brendova.</w:t>
            </w:r>
          </w:p>
          <w:p w14:paraId="25C6233C" w14:textId="77777777" w:rsidR="00357AB0" w:rsidRDefault="00357AB0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357AB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 omogućuje kombinaciju fizičkog i virtualnog sudjelovanja, pri čemu se uživo održavaju predavanja i radionice s mogućnošću </w:t>
            </w:r>
            <w:r w:rsidRPr="00344D0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357AB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sudjelovanja. </w:t>
            </w:r>
          </w:p>
          <w:p w14:paraId="226D44A0" w14:textId="12DB62E4" w:rsidR="00914C94" w:rsidRPr="00AC6562" w:rsidRDefault="00A635CC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</w:t>
            </w:r>
            <w:r w:rsidR="00062945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osigurava prilagodbu različitim potrebama polaznika, omogućuje im stjecanje praktičnih i teorijskih znanja te pruža priliku za razvoj karijera u području digitalnog marketinga i komunikacije u </w:t>
            </w:r>
            <w:r w:rsidR="00062945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turizmu, uključujući izradu promotivnih tekstualnih sadržaja i planiranje krizne komunikacije za turističke brendove.</w:t>
            </w:r>
          </w:p>
        </w:tc>
      </w:tr>
      <w:tr w:rsidR="00914C94" w:rsidRPr="00AC6562" w14:paraId="26CE7F00" w14:textId="77777777">
        <w:tc>
          <w:tcPr>
            <w:tcW w:w="3256" w:type="dxa"/>
            <w:vAlign w:val="center"/>
          </w:tcPr>
          <w:p w14:paraId="5A8A46F1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Materijalni uvjeti za izvođenje programa</w:t>
            </w:r>
            <w:r w:rsidRPr="00AC6562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290A2F67" w14:textId="77777777" w:rsidR="00914C94" w:rsidRPr="00AC6562" w:rsidRDefault="0014510E" w:rsidP="00914C94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hyperlink r:id="rId19" w:history="1">
              <w:r w:rsidR="00B4072E" w:rsidRPr="00AC656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https://hko.srce.hr/registar/skup-ishoda-ucenja/detalji/7118</w:t>
              </w:r>
            </w:hyperlink>
            <w:r w:rsidR="00B4072E" w:rsidRPr="00AC6562"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14:paraId="7102B9E7" w14:textId="77777777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00CB8135" w14:textId="5F62165E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Oprema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projektor, računalo za nastavnika s instaliranom potrebnom programskom potporom, pristupom internetu i lokalnoj mreži, radni stolovi s računalima za polaznike, potrebnom programskom potporom i odgovarajućim priključcima s pristupom internetu i instaliranim servisima, alatima i aplikacijama potrebnim za izvođenje nastave. Računala (učionička i osobna računala polaznika) trebaju zadovoljavati tražene preduvjete za odvijanje online i multimedijske nastave.</w:t>
            </w:r>
          </w:p>
          <w:p w14:paraId="05D06565" w14:textId="1A286FAD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Prostor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standardna učionica, specijalizirana učionica</w:t>
            </w:r>
          </w:p>
        </w:tc>
      </w:tr>
      <w:tr w:rsidR="00914C94" w:rsidRPr="00AC6562" w14:paraId="76C25156" w14:textId="77777777">
        <w:tc>
          <w:tcPr>
            <w:tcW w:w="3256" w:type="dxa"/>
            <w:vAlign w:val="center"/>
          </w:tcPr>
          <w:p w14:paraId="5AEAFC63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AC6562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6E9A05E1" w14:textId="28832E2C" w:rsidR="00B4072E" w:rsidRPr="00AC6562" w:rsidRDefault="0014510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0" w:history="1">
              <w:r w:rsidR="00B4072E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https://hko.srce.hr/registar/skup-ishoda-ucenja/detalji/7118</w:t>
              </w:r>
            </w:hyperlink>
            <w:r w:rsidR="00B4072E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279714C" w14:textId="77777777" w:rsidR="00B4072E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1AA1976" w14:textId="77777777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Najmanje razina 6.st i/ili 6.sv HKO-a odgovarajućeg profila. </w:t>
            </w:r>
          </w:p>
          <w:p w14:paraId="0D18CC73" w14:textId="282F17A0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Specifična znanja povezana sa skupom ishoda učenja mogu biti stečena formalnim obrazovanjem, neformalnim i informalnim učenjem.</w:t>
            </w:r>
          </w:p>
          <w:p w14:paraId="269B2033" w14:textId="77777777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DD9D7DA" w14:textId="25E08C77" w:rsidR="00B4072E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03E1568F" w14:textId="593AC233" w:rsidR="00914C94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914C94" w:rsidRPr="00AC6562" w14:paraId="59581A59" w14:textId="77777777">
        <w:tc>
          <w:tcPr>
            <w:tcW w:w="3256" w:type="dxa"/>
            <w:vAlign w:val="center"/>
          </w:tcPr>
          <w:p w14:paraId="17B74296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6C822F29" w14:textId="6018684C" w:rsidR="00914C94" w:rsidRPr="00AC6562" w:rsidRDefault="002B0427" w:rsidP="00914C9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ankete.</w:t>
            </w:r>
          </w:p>
        </w:tc>
      </w:tr>
      <w:tr w:rsidR="00914C94" w:rsidRPr="00AC6562" w14:paraId="71FD96A6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23F7BC40" w14:textId="77777777" w:rsidR="00914C94" w:rsidRPr="00AC6562" w:rsidRDefault="00914C94" w:rsidP="00914C9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14C94" w:rsidRPr="00AC6562" w14:paraId="1DE70CE7" w14:textId="77777777">
        <w:tc>
          <w:tcPr>
            <w:tcW w:w="3256" w:type="dxa"/>
            <w:vAlign w:val="center"/>
          </w:tcPr>
          <w:p w14:paraId="28894F60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36B6CD19" w14:textId="21275090" w:rsidR="00914C94" w:rsidRPr="00AC6562" w:rsidRDefault="002E100C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Cjelovita kvalifikacija na razini 4.1</w:t>
            </w:r>
          </w:p>
        </w:tc>
      </w:tr>
      <w:tr w:rsidR="00914C94" w:rsidRPr="00AC6562" w14:paraId="6A3BF79F" w14:textId="77777777" w:rsidTr="001535B7">
        <w:trPr>
          <w:trHeight w:val="651"/>
        </w:trPr>
        <w:tc>
          <w:tcPr>
            <w:tcW w:w="3256" w:type="dxa"/>
            <w:vAlign w:val="center"/>
          </w:tcPr>
          <w:p w14:paraId="43E6C51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07232480" w14:textId="559F398E" w:rsidR="00914C94" w:rsidRPr="00AC6562" w:rsidRDefault="001535B7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Uvjeti za završetak programa  su izvršene sve obveze propisane programom odnosno obveze u okviru pojedinih tema. </w:t>
            </w:r>
          </w:p>
        </w:tc>
      </w:tr>
    </w:tbl>
    <w:p w14:paraId="7F213DF1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6860E6" w:rsidRPr="00AC6562" w14:paraId="22380578" w14:textId="77777777">
        <w:tc>
          <w:tcPr>
            <w:tcW w:w="9067" w:type="dxa"/>
            <w:gridSpan w:val="6"/>
            <w:shd w:val="clear" w:color="auto" w:fill="FFC000"/>
            <w:vAlign w:val="center"/>
          </w:tcPr>
          <w:p w14:paraId="395237EB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6860E6" w:rsidRPr="00AC6562" w14:paraId="3A7D7668" w14:textId="77777777">
        <w:tc>
          <w:tcPr>
            <w:tcW w:w="9067" w:type="dxa"/>
            <w:gridSpan w:val="6"/>
            <w:shd w:val="clear" w:color="auto" w:fill="D9D9D9"/>
            <w:vAlign w:val="center"/>
          </w:tcPr>
          <w:p w14:paraId="5A3690ED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7A62C71C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6860E6" w:rsidRPr="00AC6562" w14:paraId="42FD2529" w14:textId="77777777">
        <w:tc>
          <w:tcPr>
            <w:tcW w:w="9067" w:type="dxa"/>
            <w:gridSpan w:val="6"/>
            <w:vAlign w:val="center"/>
          </w:tcPr>
          <w:p w14:paraId="7777F2B7" w14:textId="2B0734BA" w:rsidR="00A128AB" w:rsidRPr="00AC6562" w:rsidRDefault="00A128AB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Poznavati e-poslovanje u poslovnom okruženju</w:t>
            </w:r>
          </w:p>
          <w:p w14:paraId="1BB79C3E" w14:textId="3CC40544" w:rsidR="00040129" w:rsidRPr="00AC6562" w:rsidRDefault="00040129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Prikazati posebne karakteristike turističkog proizvoda i formirati cijene u suradnji s odjelom marketinga i prodaje</w:t>
            </w:r>
          </w:p>
          <w:p w14:paraId="024262D1" w14:textId="6E3102B9" w:rsidR="00451446" w:rsidRPr="00AC6562" w:rsidRDefault="00451446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IKT pri planiranju tematskih ponuda</w:t>
            </w:r>
          </w:p>
          <w:p w14:paraId="1303578C" w14:textId="4DA37468" w:rsidR="00451446" w:rsidRPr="00AC6562" w:rsidRDefault="00451446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Informirati turiste o ponudi turističke destinacije</w:t>
            </w:r>
          </w:p>
          <w:p w14:paraId="6565FE4E" w14:textId="67FD6B99" w:rsidR="006860E6" w:rsidRPr="00AC6562" w:rsidRDefault="00040129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3FCB3F89" w14:textId="2720D565" w:rsidR="00A128AB" w:rsidRPr="00AC6562" w:rsidRDefault="00A128AB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Primijeniti informacijsko komunikacijsku tehnologiju u organizacijskim aktivnostima</w:t>
            </w:r>
          </w:p>
          <w:p w14:paraId="7A3449B9" w14:textId="5CA2304B" w:rsidR="00E81DB5" w:rsidRPr="00AC6562" w:rsidRDefault="00E81DB5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</w:tc>
      </w:tr>
      <w:tr w:rsidR="006860E6" w:rsidRPr="00AC6562" w14:paraId="58696CE7" w14:textId="77777777">
        <w:tc>
          <w:tcPr>
            <w:tcW w:w="9067" w:type="dxa"/>
            <w:gridSpan w:val="6"/>
            <w:shd w:val="clear" w:color="auto" w:fill="A6A6A6"/>
            <w:vAlign w:val="center"/>
          </w:tcPr>
          <w:p w14:paraId="04875F8E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6860E6" w:rsidRPr="00AC6562" w14:paraId="1C4C0243" w14:textId="77777777">
        <w:tc>
          <w:tcPr>
            <w:tcW w:w="1838" w:type="dxa"/>
            <w:vMerge w:val="restart"/>
            <w:shd w:val="clear" w:color="auto" w:fill="D9D9D9"/>
            <w:vAlign w:val="center"/>
          </w:tcPr>
          <w:p w14:paraId="5F83BB19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5BAD9E79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2EA5737B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6860E6" w:rsidRPr="00AC6562" w14:paraId="78215515" w14:textId="77777777">
        <w:tc>
          <w:tcPr>
            <w:tcW w:w="1838" w:type="dxa"/>
            <w:vMerge/>
            <w:shd w:val="clear" w:color="auto" w:fill="D9D9D9"/>
            <w:vAlign w:val="center"/>
          </w:tcPr>
          <w:p w14:paraId="2AFF903E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294D7470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B78C555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336FCCA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8C799E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B2290FE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6860E6" w:rsidRPr="00AC6562" w14:paraId="68E57E0D" w14:textId="77777777">
        <w:tc>
          <w:tcPr>
            <w:tcW w:w="1838" w:type="dxa"/>
            <w:vAlign w:val="center"/>
          </w:tcPr>
          <w:p w14:paraId="31CA0DBA" w14:textId="7B0A1C89" w:rsidR="006860E6" w:rsidRPr="00AC6562" w:rsidRDefault="00AD0F09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Istraživanje i analiza trendova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8FF2DE" w14:textId="4F9A174B" w:rsidR="0062787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alate za istraživanje trendova ponašanja korisnika na internetu u turističkom sektoru.</w:t>
            </w:r>
          </w:p>
          <w:p w14:paraId="18651587" w14:textId="64AC45C0" w:rsidR="0062787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Odabrati relevantne teme za izradu plana komunikacije na društvenim mrežama za ciljanu publiku turističkog brenda.</w:t>
            </w:r>
          </w:p>
          <w:p w14:paraId="2F7D5F3B" w14:textId="3905D524" w:rsidR="006860E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urednički kalendar sadržaja za različite komunikacijske kanale za turistički brend.</w:t>
            </w:r>
          </w:p>
        </w:tc>
        <w:tc>
          <w:tcPr>
            <w:tcW w:w="992" w:type="dxa"/>
            <w:vAlign w:val="center"/>
          </w:tcPr>
          <w:p w14:paraId="77BB18EC" w14:textId="2B9CAF99" w:rsidR="006860E6" w:rsidRPr="00AC6562" w:rsidRDefault="00B61429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6188F" w:rsidRPr="00AC656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FB8024E" w14:textId="6EF81EFA" w:rsidR="006860E6" w:rsidRPr="00AC6562" w:rsidRDefault="008D180A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13D4BD2" w14:textId="5F1B3538" w:rsidR="006860E6" w:rsidRPr="00AC6562" w:rsidRDefault="00C3327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79276D5" w14:textId="2E3033B8" w:rsidR="006860E6" w:rsidRPr="00AC6562" w:rsidRDefault="00C3327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</w:tr>
      <w:tr w:rsidR="006860E6" w:rsidRPr="00AC6562" w14:paraId="77C5CF36" w14:textId="77777777">
        <w:tc>
          <w:tcPr>
            <w:tcW w:w="1838" w:type="dxa"/>
            <w:vAlign w:val="center"/>
          </w:tcPr>
          <w:p w14:paraId="4721AD29" w14:textId="41118F1F" w:rsidR="006860E6" w:rsidRPr="00AC6562" w:rsidRDefault="00131A8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Kreiranje i promocija sadržaja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77ED98" w14:textId="2371FCB9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arhitekturu informacija za internet sjedište turističkog brenda.</w:t>
            </w:r>
          </w:p>
          <w:p w14:paraId="3FE298B7" w14:textId="08A3DCC5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različite vrste sadržaja (blog, tipična stranica) za internet sjedište turističkog brenda prema definiranoj arhitekturi informacija.</w:t>
            </w:r>
          </w:p>
          <w:p w14:paraId="73097CAB" w14:textId="63E4F550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Izraditi sadržaj i elemente prodajnog lijevka na internet sjedištu turističkog brenda.</w:t>
            </w:r>
          </w:p>
          <w:p w14:paraId="4E00A44E" w14:textId="65C9A8A6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4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Primijeniti elemente pripovijedanja (storytelling) u izradi sadržaja za društvene mreže, blog, e-mail i članke.</w:t>
            </w:r>
          </w:p>
          <w:p w14:paraId="09AC2BAA" w14:textId="37EA9E27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sadržaj za profile na stranicama za promociju turizma i društvenim mrežama.</w:t>
            </w:r>
          </w:p>
          <w:p w14:paraId="2D13DEBE" w14:textId="38986575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6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promotivni tekstualni sadržaj prilagođen zadanim okvirima i pravilima oglašavanja na internetskim tražilicama, oglašivačkim i društvenim mrežama.</w:t>
            </w:r>
          </w:p>
          <w:p w14:paraId="71FCE212" w14:textId="0A00EBAC" w:rsidR="006860E6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7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plan krizne komunikacije za turistički brend na digitalnim komunikacijskim kanalima.</w:t>
            </w:r>
          </w:p>
        </w:tc>
        <w:tc>
          <w:tcPr>
            <w:tcW w:w="992" w:type="dxa"/>
            <w:vAlign w:val="center"/>
          </w:tcPr>
          <w:p w14:paraId="0D79C720" w14:textId="5798A722" w:rsidR="006860E6" w:rsidRPr="00AC6562" w:rsidRDefault="000C4DB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13D8D066" w14:textId="305D1370" w:rsidR="006860E6" w:rsidRPr="00AC6562" w:rsidRDefault="00733656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C4DB3" w:rsidRPr="00AC656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FBF8E40" w14:textId="33D61087" w:rsidR="006860E6" w:rsidRPr="00AC6562" w:rsidRDefault="00733656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2C12C1A" w14:textId="28852ED7" w:rsidR="006860E6" w:rsidRPr="00AC6562" w:rsidRDefault="007734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</w:tc>
      </w:tr>
    </w:tbl>
    <w:p w14:paraId="5ACE469C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1E5430FB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860E6" w:rsidRPr="00AC6562" w14:paraId="40BF0C8D" w14:textId="77777777">
        <w:tc>
          <w:tcPr>
            <w:tcW w:w="9016" w:type="dxa"/>
            <w:gridSpan w:val="7"/>
            <w:shd w:val="clear" w:color="auto" w:fill="FFC000"/>
          </w:tcPr>
          <w:p w14:paraId="1EE7E168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860E6" w:rsidRPr="00AC6562" w14:paraId="2C3C3BFF" w14:textId="77777777">
        <w:tc>
          <w:tcPr>
            <w:tcW w:w="2254" w:type="dxa"/>
            <w:vAlign w:val="center"/>
          </w:tcPr>
          <w:p w14:paraId="7C5158C8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57C7EF82" w14:textId="44500FBC" w:rsidR="006860E6" w:rsidRPr="00AC6562" w:rsidRDefault="001A31F8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</w:rPr>
              <w:t>Istraživanje i analiza trendova</w:t>
            </w:r>
          </w:p>
        </w:tc>
      </w:tr>
      <w:tr w:rsidR="006860E6" w:rsidRPr="00AC6562" w14:paraId="774FA3BA" w14:textId="77777777">
        <w:tc>
          <w:tcPr>
            <w:tcW w:w="2254" w:type="dxa"/>
            <w:vAlign w:val="center"/>
          </w:tcPr>
          <w:p w14:paraId="1DD68373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497D9623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1F5A1DE" w14:textId="0CA4FBFF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214CE7CE" w14:textId="77777777">
        <w:tc>
          <w:tcPr>
            <w:tcW w:w="2254" w:type="dxa"/>
            <w:vMerge w:val="restart"/>
            <w:vAlign w:val="center"/>
          </w:tcPr>
          <w:p w14:paraId="45490DEE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EA84AF0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94FAD1C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0B0CF6F" w14:textId="2A5791A6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A129B02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6D172B9" w14:textId="4C6A3A01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7C2AD242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1D130E1" w14:textId="68D75C22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17B92841" w14:textId="77777777">
        <w:tc>
          <w:tcPr>
            <w:tcW w:w="2254" w:type="dxa"/>
            <w:vMerge/>
            <w:vAlign w:val="center"/>
          </w:tcPr>
          <w:p w14:paraId="1E6588EE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842C3B1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5A1DBC" w14:textId="4DF4B7A2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033BD97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BFD3348" w14:textId="146FB9F0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5BA51A6F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7F406E3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E334BA4" w14:textId="77777777">
        <w:tc>
          <w:tcPr>
            <w:tcW w:w="2254" w:type="dxa"/>
            <w:vMerge/>
            <w:vAlign w:val="center"/>
          </w:tcPr>
          <w:p w14:paraId="354A0DC5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4FF1555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78E244C1" w14:textId="40CA59B3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B748917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0BBFD43" w14:textId="039515ED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26EFDF3D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B53F037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2FD3132F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50E9AE5D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6F6256F6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F93AD0B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860E6" w:rsidRPr="00AC6562" w14:paraId="166BF3B5" w14:textId="77777777">
        <w:tc>
          <w:tcPr>
            <w:tcW w:w="9016" w:type="dxa"/>
            <w:gridSpan w:val="7"/>
            <w:vAlign w:val="center"/>
          </w:tcPr>
          <w:p w14:paraId="41D9BFB7" w14:textId="77777777" w:rsidR="001A31F8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lastRenderedPageBreak/>
              <w:t>1. Koristiti alate za istraživanje trendova ponašanja korisnika na internetu u turističkom sektoru.</w:t>
            </w:r>
          </w:p>
          <w:p w14:paraId="599CA173" w14:textId="77777777" w:rsidR="001A31F8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2. Odabrati relevantne teme za izradu plana komunikacije na društvenim mrežama za ciljanu publiku turističkog brenda.</w:t>
            </w:r>
          </w:p>
          <w:p w14:paraId="2AAEFEA6" w14:textId="68EAAE0A" w:rsidR="006860E6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3. Izraditi urednički kalendar sadržaja za različite komunikacijske kanale za turistički </w:t>
            </w:r>
            <w:proofErr w:type="spellStart"/>
            <w:r w:rsidRPr="00AC6562">
              <w:rPr>
                <w:rFonts w:ascii="Calibri Light" w:eastAsia="Calibri" w:hAnsi="Calibri Light" w:cs="Calibri Light"/>
                <w:sz w:val="20"/>
              </w:rPr>
              <w:t>brend</w:t>
            </w:r>
            <w:proofErr w:type="spellEnd"/>
            <w:r w:rsidRPr="00AC6562">
              <w:rPr>
                <w:rFonts w:ascii="Calibri Light" w:eastAsia="Calibri" w:hAnsi="Calibri Light" w:cs="Calibri Light"/>
                <w:sz w:val="20"/>
              </w:rPr>
              <w:t>.</w:t>
            </w:r>
          </w:p>
        </w:tc>
      </w:tr>
      <w:tr w:rsidR="006860E6" w:rsidRPr="00AC6562" w14:paraId="7FAE5112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6713295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860E6" w:rsidRPr="00AC6562" w14:paraId="2563A8CE" w14:textId="77777777">
        <w:tc>
          <w:tcPr>
            <w:tcW w:w="9016" w:type="dxa"/>
            <w:gridSpan w:val="7"/>
            <w:vAlign w:val="center"/>
          </w:tcPr>
          <w:p w14:paraId="5D6922AA" w14:textId="46EDB5D4" w:rsidR="001434D5" w:rsidRPr="00F874A7" w:rsidRDefault="001434D5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8CE5600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B4FA087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860E6" w:rsidRPr="00AC6562" w14:paraId="70FA9FDC" w14:textId="77777777">
        <w:tc>
          <w:tcPr>
            <w:tcW w:w="9016" w:type="dxa"/>
            <w:gridSpan w:val="7"/>
            <w:vAlign w:val="center"/>
          </w:tcPr>
          <w:p w14:paraId="5EC61AAF" w14:textId="313706D2" w:rsidR="006860E6" w:rsidRPr="00AC6562" w:rsidRDefault="006860E6" w:rsidP="0096563F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DE81E1E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59D3B787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2A349295" w14:textId="77777777" w:rsidR="006860E6" w:rsidRPr="00AC6562" w:rsidRDefault="006860E6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860E6" w:rsidRPr="00AC6562" w14:paraId="5F9DE250" w14:textId="77777777">
        <w:tc>
          <w:tcPr>
            <w:tcW w:w="9016" w:type="dxa"/>
            <w:gridSpan w:val="7"/>
            <w:vAlign w:val="center"/>
          </w:tcPr>
          <w:p w14:paraId="0CD84363" w14:textId="0BB36768" w:rsidR="003E0613" w:rsidRPr="00F874A7" w:rsidRDefault="003E0613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65AC89D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6FFFD7D" w14:textId="77777777" w:rsidR="006860E6" w:rsidRPr="00AC6562" w:rsidRDefault="006860E6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860E6" w:rsidRPr="00AC6562" w14:paraId="39DB0A2D" w14:textId="77777777">
        <w:tc>
          <w:tcPr>
            <w:tcW w:w="9016" w:type="dxa"/>
            <w:gridSpan w:val="7"/>
            <w:vAlign w:val="center"/>
          </w:tcPr>
          <w:p w14:paraId="2731BAE1" w14:textId="69279755" w:rsidR="00680770" w:rsidRPr="00F874A7" w:rsidRDefault="00680770" w:rsidP="00F874A7">
            <w:pPr>
              <w:spacing w:before="60" w:after="60"/>
              <w:rPr>
                <w:b/>
                <w:bCs/>
              </w:rPr>
            </w:pPr>
          </w:p>
        </w:tc>
      </w:tr>
    </w:tbl>
    <w:p w14:paraId="23224248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F257C5" w:rsidRPr="00AC6562" w14:paraId="31DAA696" w14:textId="77777777">
        <w:tc>
          <w:tcPr>
            <w:tcW w:w="9016" w:type="dxa"/>
            <w:gridSpan w:val="7"/>
            <w:shd w:val="clear" w:color="auto" w:fill="FFC000"/>
          </w:tcPr>
          <w:p w14:paraId="44169839" w14:textId="77777777" w:rsidR="00F257C5" w:rsidRPr="00AC6562" w:rsidRDefault="00F257C5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F257C5" w:rsidRPr="00AC6562" w14:paraId="6B15A581" w14:textId="77777777">
        <w:tc>
          <w:tcPr>
            <w:tcW w:w="2254" w:type="dxa"/>
            <w:vAlign w:val="center"/>
          </w:tcPr>
          <w:p w14:paraId="2C35A734" w14:textId="77777777" w:rsidR="00F257C5" w:rsidRPr="00AC6562" w:rsidRDefault="00F257C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215C4026" w14:textId="4FEDF91C" w:rsidR="00F257C5" w:rsidRPr="00AC6562" w:rsidRDefault="006E0AF2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</w:rPr>
              <w:t>Kreiranje i promocija sadržaja</w:t>
            </w:r>
          </w:p>
        </w:tc>
      </w:tr>
      <w:tr w:rsidR="00F52EB0" w:rsidRPr="00AC6562" w14:paraId="51A9267A" w14:textId="77777777">
        <w:tc>
          <w:tcPr>
            <w:tcW w:w="2254" w:type="dxa"/>
            <w:vAlign w:val="center"/>
          </w:tcPr>
          <w:p w14:paraId="387B2C71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6864B826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AF9867B" w14:textId="557C627F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38829D13" w14:textId="77777777">
        <w:tc>
          <w:tcPr>
            <w:tcW w:w="2254" w:type="dxa"/>
            <w:vMerge w:val="restart"/>
            <w:vAlign w:val="center"/>
          </w:tcPr>
          <w:p w14:paraId="6135F1A8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6D84A3FA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1493A7E2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F9C3887" w14:textId="1F59E3EC" w:rsidR="00F52EB0" w:rsidRPr="00AC6562" w:rsidRDefault="00F52EB0" w:rsidP="00F874A7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2731926C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33CB0AFB" w14:textId="6BDC909D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0F711F8B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01D3E19B" w14:textId="6CD4CDA4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7B3CA2E6" w14:textId="77777777">
        <w:tc>
          <w:tcPr>
            <w:tcW w:w="2254" w:type="dxa"/>
            <w:vMerge/>
            <w:vAlign w:val="center"/>
          </w:tcPr>
          <w:p w14:paraId="05D0AA5D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1246EB4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DB7BCB7" w14:textId="6E62FCD2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CCFA3B3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C80774" w14:textId="0F37D77A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8D2F00B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F4F9610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58DD1CA7" w14:textId="77777777">
        <w:tc>
          <w:tcPr>
            <w:tcW w:w="2254" w:type="dxa"/>
            <w:vMerge/>
            <w:vAlign w:val="center"/>
          </w:tcPr>
          <w:p w14:paraId="60424F82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6AF1151A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DC36F58" w14:textId="75A763E6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D936833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B112F36" w14:textId="643AD21D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D4D1DC9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27C6289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7DC8B023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35A10850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F52EB0" w:rsidRPr="00AC6562" w14:paraId="628C7ED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71A2F12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F52EB0" w:rsidRPr="00AC6562" w14:paraId="62E7C87C" w14:textId="77777777">
        <w:tc>
          <w:tcPr>
            <w:tcW w:w="9016" w:type="dxa"/>
            <w:gridSpan w:val="7"/>
            <w:vAlign w:val="center"/>
          </w:tcPr>
          <w:p w14:paraId="6946F3CE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1. Izraditi arhitekturu informacija za internet sjedište turističkog brenda.</w:t>
            </w:r>
          </w:p>
          <w:p w14:paraId="62042237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2. Izraditi različite vrste sadržaja (blog, tipična stranica) za internet sjedište turističkog brenda prema definiranoj arhitekturi informacija.</w:t>
            </w:r>
          </w:p>
          <w:p w14:paraId="53A185E6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3. Izraditi sadržaj i elemente prodajnog lijevka na internet sjedištu turističkog brenda.</w:t>
            </w:r>
          </w:p>
          <w:p w14:paraId="769AB44C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4. Primijeniti elemente pripovijedanja (storytelling) u izradi sadržaja za društvene mreže, blog, e-mail i članke.</w:t>
            </w:r>
          </w:p>
          <w:p w14:paraId="2803CF75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5. Izraditi sadržaj za profile na stranicama za promociju turizma i društvenim mrežama.</w:t>
            </w:r>
          </w:p>
          <w:p w14:paraId="353A7B1E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6. Izraditi promotivni tekstualni sadržaj prilagođen zadanim okvirima i pravilima oglašavanja na internetskim tražilicama, oglašivačkim i društvenim mrežama.</w:t>
            </w:r>
          </w:p>
          <w:p w14:paraId="42EB960A" w14:textId="1F920FE8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7. Izraditi plan krizne komunikacije za turistički brend na digitalnim komunikacijskim kanalima.</w:t>
            </w:r>
          </w:p>
        </w:tc>
      </w:tr>
      <w:tr w:rsidR="00F52EB0" w:rsidRPr="00AC6562" w14:paraId="213555BF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103287E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F52EB0" w:rsidRPr="00AC6562" w14:paraId="7D47858D" w14:textId="77777777">
        <w:tc>
          <w:tcPr>
            <w:tcW w:w="9016" w:type="dxa"/>
            <w:gridSpan w:val="7"/>
            <w:vAlign w:val="center"/>
          </w:tcPr>
          <w:p w14:paraId="1627507D" w14:textId="4506AD19" w:rsidR="007F3B53" w:rsidRPr="00F874A7" w:rsidRDefault="007F3B53" w:rsidP="00F874A7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</w:p>
        </w:tc>
      </w:tr>
      <w:tr w:rsidR="00F52EB0" w:rsidRPr="00AC6562" w14:paraId="6C7C9472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3BDB70A1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F52EB0" w:rsidRPr="00AC6562" w14:paraId="7DD184E6" w14:textId="77777777">
        <w:tc>
          <w:tcPr>
            <w:tcW w:w="9016" w:type="dxa"/>
            <w:gridSpan w:val="7"/>
            <w:vAlign w:val="center"/>
          </w:tcPr>
          <w:p w14:paraId="0257CFF4" w14:textId="62B42976" w:rsidR="00F52EB0" w:rsidRPr="00AC6562" w:rsidRDefault="00F52EB0" w:rsidP="00F874A7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685CFCA9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9E473C6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7C3A6C63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F52EB0" w:rsidRPr="00AC6562" w14:paraId="4175D904" w14:textId="77777777">
        <w:tc>
          <w:tcPr>
            <w:tcW w:w="9016" w:type="dxa"/>
            <w:gridSpan w:val="7"/>
            <w:vAlign w:val="center"/>
          </w:tcPr>
          <w:p w14:paraId="5255D269" w14:textId="742A6ED2" w:rsidR="00F52EB0" w:rsidRPr="00F874A7" w:rsidRDefault="00F52EB0" w:rsidP="00F52EB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3B2DFDE7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113443F" w14:textId="77777777" w:rsidR="00F52EB0" w:rsidRPr="00AC6562" w:rsidRDefault="00F52EB0" w:rsidP="00F52EB0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F52EB0" w:rsidRPr="00AC6562" w14:paraId="33C0521E" w14:textId="77777777">
        <w:tc>
          <w:tcPr>
            <w:tcW w:w="9016" w:type="dxa"/>
            <w:gridSpan w:val="7"/>
            <w:vAlign w:val="center"/>
          </w:tcPr>
          <w:p w14:paraId="6E7258AA" w14:textId="61006C15" w:rsidR="00F52EB0" w:rsidRPr="00F874A7" w:rsidRDefault="00F52EB0" w:rsidP="00F874A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  <w:r w:rsidRPr="00F874A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3F269910" w14:textId="77777777" w:rsidR="00CD5CA7" w:rsidRPr="00AC6562" w:rsidRDefault="00CD5CA7" w:rsidP="006860E6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</w:p>
    <w:p w14:paraId="3CD1B73B" w14:textId="54F8972D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546F17D1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18"/>
          <w14:ligatures w14:val="none"/>
        </w:rPr>
        <w:lastRenderedPageBreak/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860E6" w:rsidRPr="00AC6562" w14:paraId="1840419D" w14:textId="77777777">
        <w:tc>
          <w:tcPr>
            <w:tcW w:w="3681" w:type="dxa"/>
            <w:shd w:val="clear" w:color="auto" w:fill="D9D9D9"/>
            <w:vAlign w:val="center"/>
          </w:tcPr>
          <w:p w14:paraId="44F18E68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01F111B0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4956C936" w14:textId="77777777">
        <w:tc>
          <w:tcPr>
            <w:tcW w:w="3681" w:type="dxa"/>
            <w:shd w:val="clear" w:color="auto" w:fill="D9D9D9"/>
            <w:vAlign w:val="center"/>
          </w:tcPr>
          <w:p w14:paraId="7421F21C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5552175A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51AFBB59" w14:textId="77777777">
        <w:tc>
          <w:tcPr>
            <w:tcW w:w="3681" w:type="dxa"/>
            <w:shd w:val="clear" w:color="auto" w:fill="D9D9D9"/>
            <w:vAlign w:val="center"/>
          </w:tcPr>
          <w:p w14:paraId="2171FD9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2D19CBE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5DB3372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F57834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1B53DF6F" w14:textId="77777777" w:rsidR="006860E6" w:rsidRPr="00AC6562" w:rsidRDefault="006860E6" w:rsidP="006860E6"/>
    <w:p w14:paraId="20AE456F" w14:textId="77777777" w:rsidR="00573037" w:rsidRPr="00AC6562" w:rsidRDefault="00573037"/>
    <w:sectPr w:rsidR="00573037" w:rsidRPr="00AC6562" w:rsidSect="006860E6">
      <w:footerReference w:type="default" r:id="rId21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C8F99" w14:textId="77777777" w:rsidR="0014510E" w:rsidRDefault="0014510E" w:rsidP="006860E6">
      <w:pPr>
        <w:spacing w:after="0" w:line="240" w:lineRule="auto"/>
      </w:pPr>
      <w:r>
        <w:separator/>
      </w:r>
    </w:p>
  </w:endnote>
  <w:endnote w:type="continuationSeparator" w:id="0">
    <w:p w14:paraId="51A31EDC" w14:textId="77777777" w:rsidR="0014510E" w:rsidRDefault="0014510E" w:rsidP="006860E6">
      <w:pPr>
        <w:spacing w:after="0" w:line="240" w:lineRule="auto"/>
      </w:pPr>
      <w:r>
        <w:continuationSeparator/>
      </w:r>
    </w:p>
  </w:endnote>
  <w:endnote w:type="continuationNotice" w:id="1">
    <w:p w14:paraId="3201AF03" w14:textId="77777777" w:rsidR="0014510E" w:rsidRDefault="00145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341EE14D" w14:textId="77777777" w:rsidR="0062455C" w:rsidRDefault="0062455C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9CD94F6" wp14:editId="4ED859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FC2E1" w14:textId="371B944E" w:rsidR="0062455C" w:rsidRPr="00DB61BD" w:rsidRDefault="0062455C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F874A7" w:rsidRPr="00F874A7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2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CD94F6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2CFC2E1" w14:textId="371B944E" w:rsidR="0062455C" w:rsidRPr="00DB61BD" w:rsidRDefault="0062455C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F874A7" w:rsidRPr="00F874A7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2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F4748" w14:textId="77777777" w:rsidR="0014510E" w:rsidRDefault="0014510E" w:rsidP="006860E6">
      <w:pPr>
        <w:spacing w:after="0" w:line="240" w:lineRule="auto"/>
      </w:pPr>
      <w:r>
        <w:separator/>
      </w:r>
    </w:p>
  </w:footnote>
  <w:footnote w:type="continuationSeparator" w:id="0">
    <w:p w14:paraId="0B7B65F1" w14:textId="77777777" w:rsidR="0014510E" w:rsidRDefault="0014510E" w:rsidP="006860E6">
      <w:pPr>
        <w:spacing w:after="0" w:line="240" w:lineRule="auto"/>
      </w:pPr>
      <w:r>
        <w:continuationSeparator/>
      </w:r>
    </w:p>
  </w:footnote>
  <w:footnote w:type="continuationNotice" w:id="1">
    <w:p w14:paraId="3523229E" w14:textId="77777777" w:rsidR="0014510E" w:rsidRDefault="0014510E">
      <w:pPr>
        <w:spacing w:after="0" w:line="240" w:lineRule="auto"/>
      </w:pPr>
    </w:p>
  </w:footnote>
  <w:footnote w:id="2">
    <w:p w14:paraId="7BAF7857" w14:textId="77777777" w:rsidR="00914C94" w:rsidRPr="001A66C9" w:rsidRDefault="00914C94" w:rsidP="006860E6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15A8ABB4" w14:textId="77777777" w:rsidR="00914C94" w:rsidRPr="001A66C9" w:rsidRDefault="00914C94" w:rsidP="006860E6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</w:t>
      </w:r>
      <w:r w:rsidRPr="001A66C9">
        <w:rPr>
          <w:rFonts w:ascii="Calibri" w:hAnsi="Calibri" w:cs="Calibri"/>
          <w:sz w:val="16"/>
          <w:szCs w:val="16"/>
        </w:rPr>
        <w:t>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191"/>
    <w:multiLevelType w:val="hybridMultilevel"/>
    <w:tmpl w:val="FC32A63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20A10"/>
    <w:multiLevelType w:val="hybridMultilevel"/>
    <w:tmpl w:val="03AE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1B5B"/>
    <w:multiLevelType w:val="hybridMultilevel"/>
    <w:tmpl w:val="F014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C8E"/>
    <w:multiLevelType w:val="hybridMultilevel"/>
    <w:tmpl w:val="455C3DC6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FA"/>
    <w:multiLevelType w:val="hybridMultilevel"/>
    <w:tmpl w:val="9122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81955"/>
    <w:multiLevelType w:val="hybridMultilevel"/>
    <w:tmpl w:val="AADC6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1504"/>
    <w:multiLevelType w:val="hybridMultilevel"/>
    <w:tmpl w:val="CB0AD1F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22938"/>
    <w:multiLevelType w:val="hybridMultilevel"/>
    <w:tmpl w:val="1004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F37EB"/>
    <w:multiLevelType w:val="hybridMultilevel"/>
    <w:tmpl w:val="C9B270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A3AFC"/>
    <w:multiLevelType w:val="hybridMultilevel"/>
    <w:tmpl w:val="0B8A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41EFF"/>
    <w:multiLevelType w:val="hybridMultilevel"/>
    <w:tmpl w:val="9A96E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E2A22"/>
    <w:multiLevelType w:val="hybridMultilevel"/>
    <w:tmpl w:val="A654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45D3"/>
    <w:multiLevelType w:val="hybridMultilevel"/>
    <w:tmpl w:val="1AA6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32439"/>
    <w:multiLevelType w:val="hybridMultilevel"/>
    <w:tmpl w:val="52C0FA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0A65"/>
    <w:multiLevelType w:val="hybridMultilevel"/>
    <w:tmpl w:val="7C6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06B2"/>
    <w:multiLevelType w:val="hybridMultilevel"/>
    <w:tmpl w:val="AE88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C7B81"/>
    <w:multiLevelType w:val="hybridMultilevel"/>
    <w:tmpl w:val="B50C2C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F38A3"/>
    <w:multiLevelType w:val="hybridMultilevel"/>
    <w:tmpl w:val="0846CD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2225A0"/>
    <w:multiLevelType w:val="hybridMultilevel"/>
    <w:tmpl w:val="40FA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4575D"/>
    <w:multiLevelType w:val="hybridMultilevel"/>
    <w:tmpl w:val="3524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3947"/>
    <w:multiLevelType w:val="hybridMultilevel"/>
    <w:tmpl w:val="9442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006A"/>
    <w:multiLevelType w:val="hybridMultilevel"/>
    <w:tmpl w:val="76AC105E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11B1"/>
    <w:multiLevelType w:val="hybridMultilevel"/>
    <w:tmpl w:val="1FE01ADC"/>
    <w:lvl w:ilvl="0" w:tplc="B9A8D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D5A3E"/>
    <w:multiLevelType w:val="hybridMultilevel"/>
    <w:tmpl w:val="4238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C217C"/>
    <w:multiLevelType w:val="hybridMultilevel"/>
    <w:tmpl w:val="909645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1"/>
  </w:num>
  <w:num w:numId="5">
    <w:abstractNumId w:val="16"/>
  </w:num>
  <w:num w:numId="6">
    <w:abstractNumId w:val="13"/>
  </w:num>
  <w:num w:numId="7">
    <w:abstractNumId w:val="0"/>
  </w:num>
  <w:num w:numId="8">
    <w:abstractNumId w:val="22"/>
  </w:num>
  <w:num w:numId="9">
    <w:abstractNumId w:val="24"/>
  </w:num>
  <w:num w:numId="10">
    <w:abstractNumId w:val="6"/>
  </w:num>
  <w:num w:numId="11">
    <w:abstractNumId w:val="5"/>
  </w:num>
  <w:num w:numId="12">
    <w:abstractNumId w:val="23"/>
  </w:num>
  <w:num w:numId="13">
    <w:abstractNumId w:val="18"/>
  </w:num>
  <w:num w:numId="14">
    <w:abstractNumId w:val="7"/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20"/>
  </w:num>
  <w:num w:numId="21">
    <w:abstractNumId w:val="2"/>
  </w:num>
  <w:num w:numId="22">
    <w:abstractNumId w:val="9"/>
  </w:num>
  <w:num w:numId="23">
    <w:abstractNumId w:val="15"/>
  </w:num>
  <w:num w:numId="24">
    <w:abstractNumId w:val="1"/>
  </w:num>
  <w:num w:numId="2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E6"/>
    <w:rsid w:val="00001DA4"/>
    <w:rsid w:val="00022BFF"/>
    <w:rsid w:val="00027D98"/>
    <w:rsid w:val="00040129"/>
    <w:rsid w:val="00054C38"/>
    <w:rsid w:val="00062945"/>
    <w:rsid w:val="00063CBE"/>
    <w:rsid w:val="00065073"/>
    <w:rsid w:val="000705C4"/>
    <w:rsid w:val="000737FE"/>
    <w:rsid w:val="00073B43"/>
    <w:rsid w:val="000744C6"/>
    <w:rsid w:val="000877D1"/>
    <w:rsid w:val="00090EF5"/>
    <w:rsid w:val="00091CE1"/>
    <w:rsid w:val="0009703A"/>
    <w:rsid w:val="000B2A50"/>
    <w:rsid w:val="000C0E79"/>
    <w:rsid w:val="000C368E"/>
    <w:rsid w:val="000C4DB3"/>
    <w:rsid w:val="000C5FCC"/>
    <w:rsid w:val="000C7749"/>
    <w:rsid w:val="000E4A80"/>
    <w:rsid w:val="000F6583"/>
    <w:rsid w:val="000F6E59"/>
    <w:rsid w:val="00103AD4"/>
    <w:rsid w:val="001250AC"/>
    <w:rsid w:val="00131967"/>
    <w:rsid w:val="00131A8E"/>
    <w:rsid w:val="001409AA"/>
    <w:rsid w:val="00140E2B"/>
    <w:rsid w:val="00141766"/>
    <w:rsid w:val="001434D5"/>
    <w:rsid w:val="0014510E"/>
    <w:rsid w:val="001535B7"/>
    <w:rsid w:val="00155902"/>
    <w:rsid w:val="00157020"/>
    <w:rsid w:val="001606D9"/>
    <w:rsid w:val="0016534C"/>
    <w:rsid w:val="001774C8"/>
    <w:rsid w:val="001A31F8"/>
    <w:rsid w:val="001B052F"/>
    <w:rsid w:val="001B3085"/>
    <w:rsid w:val="001B4A73"/>
    <w:rsid w:val="001B4E3D"/>
    <w:rsid w:val="001C38BE"/>
    <w:rsid w:val="001D0139"/>
    <w:rsid w:val="001D013B"/>
    <w:rsid w:val="001D6F05"/>
    <w:rsid w:val="001F0FE1"/>
    <w:rsid w:val="001F50BF"/>
    <w:rsid w:val="001F67F5"/>
    <w:rsid w:val="002009D0"/>
    <w:rsid w:val="00201C51"/>
    <w:rsid w:val="002032A9"/>
    <w:rsid w:val="00211480"/>
    <w:rsid w:val="00211D0D"/>
    <w:rsid w:val="00245078"/>
    <w:rsid w:val="00253532"/>
    <w:rsid w:val="0025410E"/>
    <w:rsid w:val="002553DB"/>
    <w:rsid w:val="00257D75"/>
    <w:rsid w:val="00261F48"/>
    <w:rsid w:val="00263DCB"/>
    <w:rsid w:val="00265CA2"/>
    <w:rsid w:val="00280FDA"/>
    <w:rsid w:val="00292B96"/>
    <w:rsid w:val="002B0427"/>
    <w:rsid w:val="002B08AD"/>
    <w:rsid w:val="002B1051"/>
    <w:rsid w:val="002B68B4"/>
    <w:rsid w:val="002B7A11"/>
    <w:rsid w:val="002C2652"/>
    <w:rsid w:val="002C6B13"/>
    <w:rsid w:val="002E100C"/>
    <w:rsid w:val="002E57B0"/>
    <w:rsid w:val="002E70C4"/>
    <w:rsid w:val="0032503D"/>
    <w:rsid w:val="00344D02"/>
    <w:rsid w:val="00352C02"/>
    <w:rsid w:val="00354960"/>
    <w:rsid w:val="00357AB0"/>
    <w:rsid w:val="00360A2F"/>
    <w:rsid w:val="00360CC1"/>
    <w:rsid w:val="00363869"/>
    <w:rsid w:val="00364060"/>
    <w:rsid w:val="003875F0"/>
    <w:rsid w:val="00393998"/>
    <w:rsid w:val="00394FD6"/>
    <w:rsid w:val="0039576C"/>
    <w:rsid w:val="003967FF"/>
    <w:rsid w:val="003B2F48"/>
    <w:rsid w:val="003C09DC"/>
    <w:rsid w:val="003E0613"/>
    <w:rsid w:val="003E1A12"/>
    <w:rsid w:val="00403E55"/>
    <w:rsid w:val="00406017"/>
    <w:rsid w:val="00415789"/>
    <w:rsid w:val="00420573"/>
    <w:rsid w:val="00426796"/>
    <w:rsid w:val="00446A29"/>
    <w:rsid w:val="00451346"/>
    <w:rsid w:val="00451446"/>
    <w:rsid w:val="00452DA2"/>
    <w:rsid w:val="004609B9"/>
    <w:rsid w:val="0047018E"/>
    <w:rsid w:val="00486AC4"/>
    <w:rsid w:val="00492C77"/>
    <w:rsid w:val="00495343"/>
    <w:rsid w:val="004A1CC9"/>
    <w:rsid w:val="004B69A1"/>
    <w:rsid w:val="004C1AB9"/>
    <w:rsid w:val="004E06E1"/>
    <w:rsid w:val="004E3E5C"/>
    <w:rsid w:val="0050305E"/>
    <w:rsid w:val="00504C54"/>
    <w:rsid w:val="00511592"/>
    <w:rsid w:val="005216DA"/>
    <w:rsid w:val="00524AA5"/>
    <w:rsid w:val="0053073E"/>
    <w:rsid w:val="00532721"/>
    <w:rsid w:val="00536BAA"/>
    <w:rsid w:val="005433A1"/>
    <w:rsid w:val="0054356D"/>
    <w:rsid w:val="00543F86"/>
    <w:rsid w:val="00554F44"/>
    <w:rsid w:val="00555EC8"/>
    <w:rsid w:val="00557DA0"/>
    <w:rsid w:val="00562580"/>
    <w:rsid w:val="00573037"/>
    <w:rsid w:val="005739DD"/>
    <w:rsid w:val="0058389B"/>
    <w:rsid w:val="005840DE"/>
    <w:rsid w:val="00592616"/>
    <w:rsid w:val="005A0795"/>
    <w:rsid w:val="005A0CE5"/>
    <w:rsid w:val="005D3E17"/>
    <w:rsid w:val="005E498B"/>
    <w:rsid w:val="005F1AF0"/>
    <w:rsid w:val="005F2B37"/>
    <w:rsid w:val="00605876"/>
    <w:rsid w:val="00615E83"/>
    <w:rsid w:val="00622746"/>
    <w:rsid w:val="0062455C"/>
    <w:rsid w:val="00627876"/>
    <w:rsid w:val="00630497"/>
    <w:rsid w:val="00642D54"/>
    <w:rsid w:val="0065264A"/>
    <w:rsid w:val="00654EA1"/>
    <w:rsid w:val="00655453"/>
    <w:rsid w:val="00656098"/>
    <w:rsid w:val="006671CD"/>
    <w:rsid w:val="00675F0F"/>
    <w:rsid w:val="0067771D"/>
    <w:rsid w:val="00680770"/>
    <w:rsid w:val="006860E6"/>
    <w:rsid w:val="00692348"/>
    <w:rsid w:val="00694847"/>
    <w:rsid w:val="006B06E3"/>
    <w:rsid w:val="006C4DBC"/>
    <w:rsid w:val="006C6212"/>
    <w:rsid w:val="006D0AAE"/>
    <w:rsid w:val="006E0AF2"/>
    <w:rsid w:val="00713083"/>
    <w:rsid w:val="0071413F"/>
    <w:rsid w:val="00715E01"/>
    <w:rsid w:val="00717758"/>
    <w:rsid w:val="0072105B"/>
    <w:rsid w:val="007222E2"/>
    <w:rsid w:val="00733656"/>
    <w:rsid w:val="00756DA2"/>
    <w:rsid w:val="00760398"/>
    <w:rsid w:val="007610EE"/>
    <w:rsid w:val="00762AD8"/>
    <w:rsid w:val="007654C2"/>
    <w:rsid w:val="007734D3"/>
    <w:rsid w:val="007A08A6"/>
    <w:rsid w:val="007A2E9F"/>
    <w:rsid w:val="007E7881"/>
    <w:rsid w:val="007E7888"/>
    <w:rsid w:val="007F3B53"/>
    <w:rsid w:val="00821C9F"/>
    <w:rsid w:val="0083273B"/>
    <w:rsid w:val="0083394B"/>
    <w:rsid w:val="00837412"/>
    <w:rsid w:val="00840A8A"/>
    <w:rsid w:val="00842112"/>
    <w:rsid w:val="0084708D"/>
    <w:rsid w:val="00850EBD"/>
    <w:rsid w:val="00853497"/>
    <w:rsid w:val="00880CC6"/>
    <w:rsid w:val="008867C8"/>
    <w:rsid w:val="00892AA2"/>
    <w:rsid w:val="008B1DB3"/>
    <w:rsid w:val="008C16E4"/>
    <w:rsid w:val="008C762E"/>
    <w:rsid w:val="008D03C9"/>
    <w:rsid w:val="008D180A"/>
    <w:rsid w:val="008F2D20"/>
    <w:rsid w:val="008F7097"/>
    <w:rsid w:val="008F7BB7"/>
    <w:rsid w:val="0090308D"/>
    <w:rsid w:val="00910996"/>
    <w:rsid w:val="00913D70"/>
    <w:rsid w:val="00914C94"/>
    <w:rsid w:val="00922E89"/>
    <w:rsid w:val="00926E8A"/>
    <w:rsid w:val="00930C50"/>
    <w:rsid w:val="00935351"/>
    <w:rsid w:val="00944962"/>
    <w:rsid w:val="009468D1"/>
    <w:rsid w:val="00961719"/>
    <w:rsid w:val="0096516D"/>
    <w:rsid w:val="0096563F"/>
    <w:rsid w:val="00966BF4"/>
    <w:rsid w:val="00987BC6"/>
    <w:rsid w:val="0099043B"/>
    <w:rsid w:val="0099094D"/>
    <w:rsid w:val="00992C97"/>
    <w:rsid w:val="009B22D3"/>
    <w:rsid w:val="009D2E5F"/>
    <w:rsid w:val="009E020B"/>
    <w:rsid w:val="009E1FC8"/>
    <w:rsid w:val="009E406B"/>
    <w:rsid w:val="009E44B1"/>
    <w:rsid w:val="009E4935"/>
    <w:rsid w:val="009F4CD0"/>
    <w:rsid w:val="00A01F98"/>
    <w:rsid w:val="00A128AB"/>
    <w:rsid w:val="00A13327"/>
    <w:rsid w:val="00A310EF"/>
    <w:rsid w:val="00A330DC"/>
    <w:rsid w:val="00A33FAD"/>
    <w:rsid w:val="00A34CAB"/>
    <w:rsid w:val="00A36188"/>
    <w:rsid w:val="00A36588"/>
    <w:rsid w:val="00A40435"/>
    <w:rsid w:val="00A50174"/>
    <w:rsid w:val="00A541F3"/>
    <w:rsid w:val="00A635CC"/>
    <w:rsid w:val="00A64A3E"/>
    <w:rsid w:val="00A65500"/>
    <w:rsid w:val="00A70888"/>
    <w:rsid w:val="00A76A80"/>
    <w:rsid w:val="00A9742C"/>
    <w:rsid w:val="00AA2740"/>
    <w:rsid w:val="00AA4B41"/>
    <w:rsid w:val="00AC4BCA"/>
    <w:rsid w:val="00AC6562"/>
    <w:rsid w:val="00AD0F09"/>
    <w:rsid w:val="00AE2DCA"/>
    <w:rsid w:val="00AE40E6"/>
    <w:rsid w:val="00AE5B9C"/>
    <w:rsid w:val="00AE647B"/>
    <w:rsid w:val="00B0173B"/>
    <w:rsid w:val="00B01BF8"/>
    <w:rsid w:val="00B068EE"/>
    <w:rsid w:val="00B158CB"/>
    <w:rsid w:val="00B21E4E"/>
    <w:rsid w:val="00B23F71"/>
    <w:rsid w:val="00B331D8"/>
    <w:rsid w:val="00B40052"/>
    <w:rsid w:val="00B4072E"/>
    <w:rsid w:val="00B41AEB"/>
    <w:rsid w:val="00B435BA"/>
    <w:rsid w:val="00B4509E"/>
    <w:rsid w:val="00B57EFC"/>
    <w:rsid w:val="00B61429"/>
    <w:rsid w:val="00B616CD"/>
    <w:rsid w:val="00B64A21"/>
    <w:rsid w:val="00B674A8"/>
    <w:rsid w:val="00B77DEB"/>
    <w:rsid w:val="00B90718"/>
    <w:rsid w:val="00B92202"/>
    <w:rsid w:val="00B9256D"/>
    <w:rsid w:val="00B97D9C"/>
    <w:rsid w:val="00BA022E"/>
    <w:rsid w:val="00BA361E"/>
    <w:rsid w:val="00BA691D"/>
    <w:rsid w:val="00BA7196"/>
    <w:rsid w:val="00BA7BFB"/>
    <w:rsid w:val="00BB0A02"/>
    <w:rsid w:val="00BB18D1"/>
    <w:rsid w:val="00BB5F0F"/>
    <w:rsid w:val="00BC48AA"/>
    <w:rsid w:val="00BD1964"/>
    <w:rsid w:val="00BD653F"/>
    <w:rsid w:val="00BE0159"/>
    <w:rsid w:val="00BF427B"/>
    <w:rsid w:val="00C11914"/>
    <w:rsid w:val="00C2257E"/>
    <w:rsid w:val="00C24784"/>
    <w:rsid w:val="00C255F5"/>
    <w:rsid w:val="00C330B0"/>
    <w:rsid w:val="00C33270"/>
    <w:rsid w:val="00C37AF4"/>
    <w:rsid w:val="00C4251C"/>
    <w:rsid w:val="00C42AE4"/>
    <w:rsid w:val="00C439D9"/>
    <w:rsid w:val="00C57004"/>
    <w:rsid w:val="00C6188F"/>
    <w:rsid w:val="00C65A1D"/>
    <w:rsid w:val="00C70E49"/>
    <w:rsid w:val="00C75C60"/>
    <w:rsid w:val="00C7719E"/>
    <w:rsid w:val="00C81760"/>
    <w:rsid w:val="00C85465"/>
    <w:rsid w:val="00C858CA"/>
    <w:rsid w:val="00C92170"/>
    <w:rsid w:val="00C97553"/>
    <w:rsid w:val="00CA79B5"/>
    <w:rsid w:val="00CB0EA0"/>
    <w:rsid w:val="00CB4569"/>
    <w:rsid w:val="00CB70DF"/>
    <w:rsid w:val="00CB7D04"/>
    <w:rsid w:val="00CC6F04"/>
    <w:rsid w:val="00CD0266"/>
    <w:rsid w:val="00CD4480"/>
    <w:rsid w:val="00CD5CA7"/>
    <w:rsid w:val="00CE2665"/>
    <w:rsid w:val="00CE2761"/>
    <w:rsid w:val="00CE3AE7"/>
    <w:rsid w:val="00CE49C0"/>
    <w:rsid w:val="00CF01BE"/>
    <w:rsid w:val="00CF2063"/>
    <w:rsid w:val="00CF30CC"/>
    <w:rsid w:val="00CF4201"/>
    <w:rsid w:val="00CF6079"/>
    <w:rsid w:val="00CF7F22"/>
    <w:rsid w:val="00D14E66"/>
    <w:rsid w:val="00D16294"/>
    <w:rsid w:val="00D163C3"/>
    <w:rsid w:val="00D224C8"/>
    <w:rsid w:val="00D23B97"/>
    <w:rsid w:val="00D37BE6"/>
    <w:rsid w:val="00D5005A"/>
    <w:rsid w:val="00D67169"/>
    <w:rsid w:val="00D72869"/>
    <w:rsid w:val="00D75BCB"/>
    <w:rsid w:val="00D81739"/>
    <w:rsid w:val="00DA7C39"/>
    <w:rsid w:val="00DB0F6A"/>
    <w:rsid w:val="00DB7181"/>
    <w:rsid w:val="00DC1500"/>
    <w:rsid w:val="00DC36C3"/>
    <w:rsid w:val="00DC5953"/>
    <w:rsid w:val="00DC6F3B"/>
    <w:rsid w:val="00DD2B36"/>
    <w:rsid w:val="00DF3A5E"/>
    <w:rsid w:val="00DF6FAE"/>
    <w:rsid w:val="00E00AED"/>
    <w:rsid w:val="00E1186F"/>
    <w:rsid w:val="00E1459A"/>
    <w:rsid w:val="00E2366B"/>
    <w:rsid w:val="00E24D75"/>
    <w:rsid w:val="00E30C01"/>
    <w:rsid w:val="00E3636A"/>
    <w:rsid w:val="00E401D0"/>
    <w:rsid w:val="00E44124"/>
    <w:rsid w:val="00E5472D"/>
    <w:rsid w:val="00E55CF1"/>
    <w:rsid w:val="00E60BD4"/>
    <w:rsid w:val="00E638CA"/>
    <w:rsid w:val="00E64FE6"/>
    <w:rsid w:val="00E71848"/>
    <w:rsid w:val="00E7639C"/>
    <w:rsid w:val="00E806D4"/>
    <w:rsid w:val="00E81DB5"/>
    <w:rsid w:val="00E866EC"/>
    <w:rsid w:val="00E92674"/>
    <w:rsid w:val="00E93E45"/>
    <w:rsid w:val="00EE081A"/>
    <w:rsid w:val="00F008F5"/>
    <w:rsid w:val="00F112FC"/>
    <w:rsid w:val="00F158A6"/>
    <w:rsid w:val="00F20660"/>
    <w:rsid w:val="00F257C5"/>
    <w:rsid w:val="00F34CBF"/>
    <w:rsid w:val="00F404E4"/>
    <w:rsid w:val="00F41D0F"/>
    <w:rsid w:val="00F460A0"/>
    <w:rsid w:val="00F514D8"/>
    <w:rsid w:val="00F51DFE"/>
    <w:rsid w:val="00F52EB0"/>
    <w:rsid w:val="00F54BB6"/>
    <w:rsid w:val="00F55062"/>
    <w:rsid w:val="00F55B2F"/>
    <w:rsid w:val="00F7184E"/>
    <w:rsid w:val="00F7454C"/>
    <w:rsid w:val="00F779C6"/>
    <w:rsid w:val="00F85993"/>
    <w:rsid w:val="00F861C1"/>
    <w:rsid w:val="00F874A7"/>
    <w:rsid w:val="00F9549C"/>
    <w:rsid w:val="00F97BBE"/>
    <w:rsid w:val="00FA03C8"/>
    <w:rsid w:val="00FA07DF"/>
    <w:rsid w:val="00FA1E15"/>
    <w:rsid w:val="00FC0E84"/>
    <w:rsid w:val="00FC740F"/>
    <w:rsid w:val="00FD14AD"/>
    <w:rsid w:val="00FD4EEB"/>
    <w:rsid w:val="00FE174F"/>
    <w:rsid w:val="00FE3534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9385"/>
  <w15:chartTrackingRefBased/>
  <w15:docId w15:val="{CCCC546E-D168-4D6A-B48E-4112A50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04"/>
  </w:style>
  <w:style w:type="paragraph" w:styleId="Heading1">
    <w:name w:val="heading 1"/>
    <w:basedOn w:val="Normal"/>
    <w:next w:val="Normal"/>
    <w:link w:val="Heading1Char"/>
    <w:uiPriority w:val="9"/>
    <w:qFormat/>
    <w:rsid w:val="0068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8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0E6"/>
  </w:style>
  <w:style w:type="table" w:styleId="TableGrid">
    <w:name w:val="Table Grid"/>
    <w:basedOn w:val="TableNormal"/>
    <w:uiPriority w:val="39"/>
    <w:rsid w:val="006860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60E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E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60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860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7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49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1CD"/>
  </w:style>
  <w:style w:type="character" w:styleId="CommentReference">
    <w:name w:val="annotation reference"/>
    <w:basedOn w:val="DefaultParagraphFont"/>
    <w:uiPriority w:val="99"/>
    <w:semiHidden/>
    <w:unhideWhenUsed/>
    <w:rsid w:val="00F3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CBF"/>
    <w:rPr>
      <w:b/>
      <w:bCs/>
      <w:sz w:val="20"/>
      <w:szCs w:val="20"/>
    </w:rPr>
  </w:style>
  <w:style w:type="paragraph" w:styleId="NoSpacing">
    <w:name w:val="No Spacing"/>
    <w:uiPriority w:val="1"/>
    <w:qFormat/>
    <w:rsid w:val="00E71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8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323" TargetMode="External"/><Relationship Id="rId18" Type="http://schemas.openxmlformats.org/officeDocument/2006/relationships/hyperlink" Target="https://hko.srce.hr/registar/skup-kompetencija/detalji/165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vjestine.hzz.hr/sector/skill/4405" TargetMode="External"/><Relationship Id="rId17" Type="http://schemas.openxmlformats.org/officeDocument/2006/relationships/hyperlink" Target="https://hko.srce.hr/registar/standard-zanimanja/detalji/19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7118" TargetMode="External"/><Relationship Id="rId20" Type="http://schemas.openxmlformats.org/officeDocument/2006/relationships/hyperlink" Target="https://hko.srce.hr/registar/skup-ishoda-ucenja/detalji/711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1328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2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jestine.hzz.hr/sector/skill/1322" TargetMode="External"/><Relationship Id="rId19" Type="http://schemas.openxmlformats.org/officeDocument/2006/relationships/hyperlink" Target="https://hko.srce.hr/registar/skup-ishoda-ucenja/detalji/71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6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FB546-5EE7-4F57-B9DC-40E9DC650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34BD6-A517-4991-97B7-B20AAFE2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3B395-2079-4606-AAB7-4F2AA95CF59D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Links>
    <vt:vector size="66" baseType="variant">
      <vt:variant>
        <vt:i4>4521999</vt:i4>
      </vt:variant>
      <vt:variant>
        <vt:i4>39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4521999</vt:i4>
      </vt:variant>
      <vt:variant>
        <vt:i4>36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3735663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https://hko.srce.hr/registar/skup-kompetencija/detalji/1652</vt:lpwstr>
      </vt:variant>
      <vt:variant>
        <vt:lpwstr/>
      </vt:variant>
      <vt:variant>
        <vt:i4>7536750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https://hko.srce.hr/registar/standard-zanimanja/detalji/191</vt:lpwstr>
      </vt:variant>
      <vt:variant>
        <vt:lpwstr/>
      </vt:variant>
      <vt:variant>
        <vt:i4>4521999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6684796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https://hko.srce.hr/registar/standard-kvalifikacije/detalji/219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https://hko.srce.hr/registar/skup-kompetencija/detalji/2669</vt:lpwstr>
      </vt:variant>
      <vt:variant>
        <vt:lpwstr/>
      </vt:variant>
      <vt:variant>
        <vt:i4>7864428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https://hko.srce.hr/registar/standard-zanimanja/detalji/323</vt:lpwstr>
      </vt:variant>
      <vt:variant>
        <vt:lpwstr/>
      </vt:variant>
      <vt:variant>
        <vt:i4>4194317</vt:i4>
      </vt:variant>
      <vt:variant>
        <vt:i4>6</vt:i4>
      </vt:variant>
      <vt:variant>
        <vt:i4>0</vt:i4>
      </vt:variant>
      <vt:variant>
        <vt:i4>5</vt:i4>
      </vt:variant>
      <vt:variant>
        <vt:lpwstr>https://vjestine.hzz.hr/sector/skill/4405</vt:lpwstr>
      </vt:variant>
      <vt:variant>
        <vt:lpwstr/>
      </vt:variant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https://vjestine.hzz.hr/sector/skill/1328</vt:lpwstr>
      </vt:variant>
      <vt:variant>
        <vt:lpwstr/>
      </vt:variant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https://vjestine.hzz.hr/sector/skill/1322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138</cp:revision>
  <dcterms:created xsi:type="dcterms:W3CDTF">2024-08-30T06:06:00Z</dcterms:created>
  <dcterms:modified xsi:type="dcterms:W3CDTF">2025-01-20T15:26:00Z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