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3" w:type="dxa"/>
        <w:tblLayout w:type="fixed"/>
        <w:tblLook w:val="04A0" w:firstRow="1" w:lastRow="0" w:firstColumn="1" w:lastColumn="0" w:noHBand="0" w:noVBand="1"/>
      </w:tblPr>
      <w:tblGrid>
        <w:gridCol w:w="9577"/>
        <w:gridCol w:w="236"/>
      </w:tblGrid>
      <w:tr w:rsidR="00687529" w14:paraId="75515381" w14:textId="77777777" w:rsidTr="00C278EB">
        <w:tc>
          <w:tcPr>
            <w:tcW w:w="9577" w:type="dxa"/>
            <w:shd w:val="clear" w:color="auto" w:fill="auto"/>
          </w:tcPr>
          <w:p w14:paraId="7551537B" w14:textId="3C111C1A" w:rsidR="00BC52AA" w:rsidRPr="00C278EB" w:rsidRDefault="00C278EB" w:rsidP="00C278EB">
            <w:pPr>
              <w:jc w:val="center"/>
              <w:rPr>
                <w:rFonts w:ascii="CarolinaBar-B39-25F2" w:hAnsi="CarolinaBar-B39-25F2"/>
                <w:color w:val="000000"/>
              </w:rPr>
            </w:pPr>
            <w:bookmarkStart w:id="0" w:name="_Hlk4596292"/>
            <w:r w:rsidRPr="00992CDC">
              <w:rPr>
                <w:b/>
                <w:bCs/>
              </w:rPr>
              <w:t xml:space="preserve">                 </w:t>
            </w:r>
            <w:r w:rsidR="00F915A9">
              <w:rPr>
                <w:noProof/>
                <w:lang w:val="en-US"/>
              </w:rPr>
              <w:drawing>
                <wp:inline distT="0" distB="0" distL="0" distR="0" wp14:anchorId="75515386" wp14:editId="6BE49ABC">
                  <wp:extent cx="581025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                          </w:t>
            </w: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2781407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14:paraId="1F12E907" w14:textId="77777777" w:rsidR="00C278EB" w:rsidRDefault="00C278EB" w:rsidP="00992CDC">
            <w:pPr>
              <w:jc w:val="both"/>
              <w:rPr>
                <w:b/>
                <w:bCs/>
                <w:iCs/>
              </w:rPr>
            </w:pPr>
          </w:p>
          <w:p w14:paraId="7551537C" w14:textId="2B4C0970" w:rsidR="00992CDC" w:rsidRPr="00992CDC" w:rsidRDefault="00C278EB" w:rsidP="00992CDC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14:paraId="7551537D" w14:textId="2FD4E73A" w:rsidR="00992CDC" w:rsidRDefault="00C278EB" w:rsidP="00992CDC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</w:p>
          <w:p w14:paraId="09E6105F" w14:textId="27131E07" w:rsidR="00C278EB" w:rsidRDefault="00C278EB" w:rsidP="00992CDC">
            <w:pPr>
              <w:jc w:val="both"/>
              <w:rPr>
                <w:b/>
                <w:bCs/>
                <w:iCs/>
              </w:rPr>
            </w:pPr>
          </w:p>
          <w:p w14:paraId="2373ADF7" w14:textId="77777777" w:rsidR="00AC7499" w:rsidRPr="00157802" w:rsidRDefault="00AC7499" w:rsidP="00992CDC">
            <w:pPr>
              <w:jc w:val="both"/>
              <w:rPr>
                <w:b/>
                <w:bCs/>
                <w:iCs/>
              </w:rPr>
            </w:pPr>
          </w:p>
          <w:p w14:paraId="3E54E71F" w14:textId="20051625" w:rsidR="00C278EB" w:rsidRPr="00C278EB" w:rsidRDefault="00C278EB" w:rsidP="00C278EB">
            <w:pPr>
              <w:autoSpaceDE w:val="0"/>
              <w:autoSpaceDN w:val="0"/>
              <w:adjustRightInd w:val="0"/>
              <w:jc w:val="both"/>
              <w:rPr>
                <w:bCs/>
                <w:lang w:eastAsia="hr-HR"/>
              </w:rPr>
            </w:pPr>
            <w:r w:rsidRPr="00C278EB">
              <w:rPr>
                <w:lang w:eastAsia="hr-HR"/>
              </w:rPr>
              <w:t>Na temelju Strategije razvoja turizma Republike Hrvatske do 2020. godine (Narodne novine, broj 55/13), Strategije regionalnog razvoja Republike Hrvatske za raz</w:t>
            </w:r>
            <w:r w:rsidR="00AC7499">
              <w:rPr>
                <w:lang w:eastAsia="hr-HR"/>
              </w:rPr>
              <w:t>doblje do kraja 2020. godine (Narodne novine, broj</w:t>
            </w:r>
            <w:r w:rsidRPr="00C278EB">
              <w:rPr>
                <w:lang w:eastAsia="hr-HR"/>
              </w:rPr>
              <w:t xml:space="preserve"> 75/17),</w:t>
            </w:r>
            <w:r w:rsidRPr="00C278EB">
              <w:rPr>
                <w:i/>
                <w:lang w:eastAsia="hr-HR"/>
              </w:rPr>
              <w:t xml:space="preserve"> </w:t>
            </w:r>
            <w:r w:rsidRPr="00C278EB">
              <w:rPr>
                <w:lang w:eastAsia="hr-HR"/>
              </w:rPr>
              <w:t>Strateškog plana Ministarstva turizma za razdoblje 2020.-2022. godine,  Državnog proračuna Republike Hrvatske za 2020. godinu i projekcije za 2021. i 2022. godinu (Narodne novine, broj 117/19</w:t>
            </w:r>
            <w:r w:rsidRPr="00C278EB">
              <w:rPr>
                <w:bCs/>
                <w:lang w:eastAsia="hr-HR"/>
              </w:rPr>
              <w:t>)</w:t>
            </w:r>
            <w:r w:rsidRPr="00C278EB">
              <w:rPr>
                <w:lang w:eastAsia="hr-HR"/>
              </w:rPr>
              <w:t xml:space="preserve"> i Akcijskog plana razvoja cikloturizma,  </w:t>
            </w:r>
            <w:r w:rsidRPr="00C278EB">
              <w:rPr>
                <w:bCs/>
                <w:lang w:eastAsia="hr-HR"/>
              </w:rPr>
              <w:t>ministar  turizma donosi</w:t>
            </w:r>
          </w:p>
          <w:p w14:paraId="5A337843" w14:textId="77777777" w:rsidR="00C278EB" w:rsidRPr="00C278EB" w:rsidRDefault="00C278EB" w:rsidP="00C278EB">
            <w:pPr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p w14:paraId="039980AE" w14:textId="6F5A55D8" w:rsidR="00C278EB" w:rsidRDefault="00C63F3A" w:rsidP="00C63F3A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  <w:r>
              <w:rPr>
                <w:lang w:eastAsia="hr-HR"/>
              </w:rPr>
              <w:tab/>
            </w:r>
          </w:p>
          <w:p w14:paraId="0034254B" w14:textId="77777777" w:rsidR="00C278EB" w:rsidRPr="00C278EB" w:rsidRDefault="00C278EB" w:rsidP="00C278EB">
            <w:pPr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p w14:paraId="32EA3AA0" w14:textId="77777777" w:rsidR="00C278EB" w:rsidRPr="00C278EB" w:rsidRDefault="00C278EB" w:rsidP="00C278E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P R O G R A M </w:t>
            </w:r>
          </w:p>
          <w:p w14:paraId="5ED7D46E" w14:textId="77777777" w:rsidR="00C278EB" w:rsidRPr="00C278EB" w:rsidRDefault="00C278EB" w:rsidP="00C278E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>razvoja cikloturizma na kontinentu u 2020. godini</w:t>
            </w:r>
          </w:p>
          <w:p w14:paraId="18FD64AB" w14:textId="77777777" w:rsidR="00C278EB" w:rsidRPr="00C278EB" w:rsidRDefault="00C278EB" w:rsidP="00C278EB">
            <w:pPr>
              <w:jc w:val="center"/>
              <w:rPr>
                <w:b/>
                <w:bCs/>
                <w:lang w:eastAsia="hr-HR"/>
              </w:rPr>
            </w:pPr>
          </w:p>
          <w:p w14:paraId="4C0BAC64" w14:textId="77777777" w:rsidR="00C278EB" w:rsidRPr="00C278EB" w:rsidRDefault="00C278EB" w:rsidP="00C278EB">
            <w:pPr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6961"/>
            </w:tblGrid>
            <w:tr w:rsidR="00C278EB" w:rsidRPr="00C278EB" w14:paraId="47A93667" w14:textId="77777777" w:rsidTr="00C278EB">
              <w:trPr>
                <w:trHeight w:val="392"/>
              </w:trPr>
              <w:tc>
                <w:tcPr>
                  <w:tcW w:w="2390" w:type="dxa"/>
                  <w:shd w:val="clear" w:color="auto" w:fill="auto"/>
                </w:tcPr>
                <w:p w14:paraId="76E161F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F789201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OPĆI CILJ</w:t>
                  </w:r>
                </w:p>
                <w:p w14:paraId="0F8616A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261F6919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1E0F9D8E" w14:textId="77777777" w:rsidR="00C278EB" w:rsidRPr="00C278EB" w:rsidRDefault="00C278EB" w:rsidP="00C278EB">
                  <w:pPr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 xml:space="preserve">Podizanje konkurentnosti hrvatskog turizma uz afirmaciju Hrvatske kao jedne od vodećih međunarodnih turističkih destinacija </w:t>
                  </w:r>
                </w:p>
                <w:p w14:paraId="581C104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</w:tr>
            <w:tr w:rsidR="00C278EB" w:rsidRPr="00C278EB" w14:paraId="3D3A189F" w14:textId="77777777" w:rsidTr="00C278EB">
              <w:tc>
                <w:tcPr>
                  <w:tcW w:w="2390" w:type="dxa"/>
                  <w:shd w:val="clear" w:color="auto" w:fill="auto"/>
                </w:tcPr>
                <w:p w14:paraId="4198F99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24ACE0F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POSEBNI CILJEVI</w:t>
                  </w:r>
                </w:p>
              </w:tc>
              <w:tc>
                <w:tcPr>
                  <w:tcW w:w="6961" w:type="dxa"/>
                </w:tcPr>
                <w:p w14:paraId="173F30E9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6E441191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Unapređenje turističke kvalitete i sadržaja turističkog proizvoda na kontinentu;</w:t>
                  </w:r>
                </w:p>
                <w:p w14:paraId="4462C6FC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razvoj turističke infrastrukture i očuvanje turističke resursne osnove na kontinentu;</w:t>
                  </w:r>
                </w:p>
                <w:p w14:paraId="1C788D30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generiranje ključnog motiva dolaska na kontinentu;</w:t>
                  </w:r>
                </w:p>
                <w:p w14:paraId="57CD2388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primjerenija valorizacija resursa na kontinentu;</w:t>
                  </w:r>
                </w:p>
                <w:p w14:paraId="73D901FA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stvaranje nove atrakcijske osnove na kontinentu;</w:t>
                  </w:r>
                </w:p>
                <w:p w14:paraId="672DD166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poticanje rasta turističke potrošnje na kontinentu;</w:t>
                  </w:r>
                </w:p>
                <w:p w14:paraId="63C72060" w14:textId="77777777" w:rsidR="00C278EB" w:rsidRPr="00C278EB" w:rsidRDefault="00C278EB" w:rsidP="00C278EB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povećanje zadovoljstva gostiju ponudom u destinaciji.</w:t>
                  </w:r>
                </w:p>
                <w:p w14:paraId="6931F969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color w:val="FF0000"/>
                      <w:lang w:eastAsia="hr-HR"/>
                    </w:rPr>
                  </w:pPr>
                </w:p>
              </w:tc>
            </w:tr>
            <w:tr w:rsidR="00C278EB" w:rsidRPr="00C278EB" w14:paraId="06F66CF1" w14:textId="77777777" w:rsidTr="00C278EB">
              <w:trPr>
                <w:trHeight w:val="1833"/>
              </w:trPr>
              <w:tc>
                <w:tcPr>
                  <w:tcW w:w="2390" w:type="dxa"/>
                  <w:shd w:val="clear" w:color="auto" w:fill="auto"/>
                </w:tcPr>
                <w:p w14:paraId="78CF5FAE" w14:textId="77777777" w:rsidR="00C278EB" w:rsidRPr="00C278EB" w:rsidRDefault="00C278EB" w:rsidP="00C278EB">
                  <w:pPr>
                    <w:rPr>
                      <w:b/>
                      <w:bCs/>
                      <w:lang w:eastAsia="hr-HR"/>
                    </w:rPr>
                  </w:pPr>
                </w:p>
                <w:p w14:paraId="469680D5" w14:textId="77777777" w:rsidR="00C278EB" w:rsidRPr="00C278EB" w:rsidRDefault="00C278EB" w:rsidP="00C278EB">
                  <w:pPr>
                    <w:rPr>
                      <w:b/>
                      <w:bCs/>
                      <w:lang w:eastAsia="hr-HR"/>
                    </w:rPr>
                  </w:pPr>
                  <w:r w:rsidRPr="00C278EB">
                    <w:rPr>
                      <w:b/>
                      <w:bCs/>
                      <w:lang w:eastAsia="hr-HR"/>
                    </w:rPr>
                    <w:t>PREDMET FINANCIRANJA</w:t>
                  </w:r>
                </w:p>
                <w:p w14:paraId="16D95781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2AFEA77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66B2B2B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863C72B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6DC9F7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8DDEF0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527706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50FF43C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0199351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035450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76A5AC4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4CCFFDDC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24AAC5F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5C3B55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2010BBF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3D08127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79B9B60C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Prema prethodno izrađenom Operativnom planu razvoja cikloturizma županije (2017.-2020.) mogući predmeti financiranja su:</w:t>
                  </w:r>
                </w:p>
                <w:p w14:paraId="6489E17E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189C97C9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 prometnih elaborata u svrhu trasiranja i označavanja cikloturističkih ruta;</w:t>
                  </w:r>
                </w:p>
                <w:p w14:paraId="4A77BAE8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Izrada/postavljanje signalizacije/info ploča duž cikloturističkih ruta, uključujući oznaku EuroVelo rute;</w:t>
                  </w:r>
                </w:p>
                <w:p w14:paraId="6E4A3BA8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Uređenje/opremanje cikloturističkih ruta i postavljanje servisnih stanica za popravak bicikala duž cikloturističkih ruta;</w:t>
                  </w:r>
                </w:p>
                <w:p w14:paraId="30DF9305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lastRenderedPageBreak/>
                    <w:t>Izrada projektno tehničke dokumentacije za dogradnju/izgradnju biciklističkih staza (uključujući i staze za određene tipove biciklizma - enduro, XC, downhill i sl.);</w:t>
                  </w:r>
                </w:p>
                <w:p w14:paraId="0C17EB61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 standarda za „bed&amp;bike“ smještajne objekte;</w:t>
                  </w:r>
                </w:p>
                <w:p w14:paraId="0CADA36F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Postavljanje brojača biciklističkog kretanja/prometa na EuroVelo rutama, na dr. međunarodnim pravcima biciklističkih ruta (Savska ruta, Dravska ruta, Ruta Panonski put mira i sl.), u gradovima na glavnim biciklističkim pravcima kretanja, kod glavnih turističkih atrakcija na udaljenijim točkama u ruralnom prostoru i sl.;</w:t>
                  </w:r>
                </w:p>
                <w:p w14:paraId="7C639FD4" w14:textId="77777777" w:rsidR="00C278EB" w:rsidRPr="00C278EB" w:rsidRDefault="00C278EB" w:rsidP="00C278EB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Uređenje cikloturističkih odmorišta/vidikovca na cikloturističkim rutama (smart odmorišta, nadstrešnice, stalci za bicikle, postavljanje pametnih klupa, postavljanje info tabli o odmorištu i relevantnim informacijama o lokalitetu/destinaciji i sl.).</w:t>
                  </w:r>
                </w:p>
                <w:p w14:paraId="14F7854C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76C1830E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*Cikloturističkim odmorištem se ne smatra izletište za lokalno stanovništvo.</w:t>
                  </w:r>
                </w:p>
                <w:p w14:paraId="78CDB71B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C278EB" w:rsidRPr="00C278EB" w14:paraId="6E18DCB7" w14:textId="77777777" w:rsidTr="00C278EB">
              <w:tc>
                <w:tcPr>
                  <w:tcW w:w="2390" w:type="dxa"/>
                  <w:shd w:val="clear" w:color="auto" w:fill="auto"/>
                </w:tcPr>
                <w:p w14:paraId="36BDFCD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199B327" w14:textId="77777777" w:rsidR="00C278EB" w:rsidRPr="00C278EB" w:rsidRDefault="00C278EB" w:rsidP="00C278EB">
                  <w:pPr>
                    <w:rPr>
                      <w:b/>
                      <w:bCs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PREDLAGATELJI </w:t>
                  </w:r>
                </w:p>
              </w:tc>
              <w:tc>
                <w:tcPr>
                  <w:tcW w:w="6961" w:type="dxa"/>
                </w:tcPr>
                <w:p w14:paraId="707A99FC" w14:textId="77777777" w:rsidR="00C278EB" w:rsidRPr="00C278EB" w:rsidRDefault="00C278EB" w:rsidP="00C278EB">
                  <w:pPr>
                    <w:jc w:val="both"/>
                    <w:rPr>
                      <w:b/>
                      <w:lang w:eastAsia="hr-HR"/>
                    </w:rPr>
                  </w:pPr>
                </w:p>
                <w:p w14:paraId="2A7248F1" w14:textId="77777777" w:rsidR="00C278EB" w:rsidRPr="00C278EB" w:rsidRDefault="00C278EB" w:rsidP="00C278EB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Jedinice područne (regionalne) samouprave – županije</w:t>
                  </w:r>
                  <w:r w:rsidRPr="00C278EB">
                    <w:rPr>
                      <w:color w:val="000000"/>
                      <w:lang w:eastAsia="hr-HR"/>
                    </w:rPr>
                    <w:t>:</w:t>
                  </w:r>
                </w:p>
                <w:p w14:paraId="7D650AB5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(Bjelovarsko-bilogorska, Brodsko-posavska, Karlovačka, Krapinsko-zagorska, Koprivničko-križevačka, Ličko-senjska, Međimurska, Osječko-baranjska, Požeško-slavonska, Sisačko-moslavačka, Varaždinska, Virovitičko-podravska,  Vukovarsko-srijemska i Zagrebačka županija).</w:t>
                  </w:r>
                </w:p>
                <w:p w14:paraId="2858B4B2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196174F4" w14:textId="77777777" w:rsidTr="00C278EB">
              <w:trPr>
                <w:trHeight w:val="1230"/>
              </w:trPr>
              <w:tc>
                <w:tcPr>
                  <w:tcW w:w="2390" w:type="dxa"/>
                  <w:shd w:val="clear" w:color="auto" w:fill="auto"/>
                </w:tcPr>
                <w:p w14:paraId="4AD8405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528CD6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IZNOS SREDSTAVA</w:t>
                  </w:r>
                </w:p>
              </w:tc>
              <w:tc>
                <w:tcPr>
                  <w:tcW w:w="6961" w:type="dxa"/>
                </w:tcPr>
                <w:p w14:paraId="695DB28D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4A97B0E6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Minimalni iznos: 100.000,00 kn</w:t>
                  </w:r>
                </w:p>
                <w:p w14:paraId="386A540D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Maksimalni iznos: 500.000,00 kn</w:t>
                  </w:r>
                </w:p>
                <w:p w14:paraId="62275129" w14:textId="77777777" w:rsidR="00C278EB" w:rsidRPr="00C278EB" w:rsidRDefault="00C278EB" w:rsidP="00C278EB">
                  <w:pPr>
                    <w:jc w:val="both"/>
                    <w:rPr>
                      <w:b/>
                      <w:lang w:eastAsia="hr-HR"/>
                    </w:rPr>
                  </w:pPr>
                </w:p>
              </w:tc>
            </w:tr>
            <w:tr w:rsidR="00C278EB" w:rsidRPr="00C278EB" w14:paraId="3D320DFC" w14:textId="77777777" w:rsidTr="00C278EB">
              <w:trPr>
                <w:trHeight w:val="708"/>
              </w:trPr>
              <w:tc>
                <w:tcPr>
                  <w:tcW w:w="2390" w:type="dxa"/>
                  <w:shd w:val="clear" w:color="auto" w:fill="auto"/>
                </w:tcPr>
                <w:p w14:paraId="4AD06D10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8F4D00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KRITERIJI</w:t>
                  </w:r>
                </w:p>
              </w:tc>
              <w:tc>
                <w:tcPr>
                  <w:tcW w:w="6961" w:type="dxa"/>
                </w:tcPr>
                <w:p w14:paraId="22DDBF37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2FFD6192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Kriteriji:</w:t>
                  </w:r>
                </w:p>
                <w:p w14:paraId="2694E78C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983A09B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Ocjena značaja projekta javne turističke infrastrukture za razvoj turizma županije (povećanje ekonomske razvijenosti predmetnog područja, povećanje turističke ponude, značaj za poduzetništvo u ugostiteljstvu i turizmu, produženje turističke sezone);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30 bodova</w:t>
                  </w:r>
                </w:p>
                <w:p w14:paraId="09B51D60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Vrsta cikloturističke rute koja se uređuje – da li se uređuje EuroVelo ruta, međunarodna, nacionalna ili regionalna ruta;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15 bodova</w:t>
                  </w:r>
                </w:p>
                <w:p w14:paraId="04348ECC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Da li se uz rutu nalaze lokacije veće koncentracije turističkog prometa (npr. nacionalni park/park prirode, kulturne i povijesne atrakcije, toplice i sl.);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15 bodova</w:t>
                  </w:r>
                </w:p>
                <w:p w14:paraId="6F56CDF2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Kvaliteta i obuhvat prijavljenog projekta (dužina rute/a koje se trasiraju, uređuju, označavaju ili opremaju, broj servisnih stanica za popravak bicikla i brojača biciklističkog kretanja/prometa, kvaliteta cikloturističkog odmorišta/vidikovca (inovativno rješenje, modularne stanice, </w:t>
                  </w:r>
                  <w:r w:rsidRPr="00C278EB">
                    <w:rPr>
                      <w:color w:val="000000"/>
                      <w:lang w:eastAsia="hr-HR"/>
                    </w:rPr>
                    <w:lastRenderedPageBreak/>
                    <w:t xml:space="preserve">tipski objekti, ekološki prihvatljivi materijali i sl.));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10 bodova</w:t>
                  </w:r>
                </w:p>
                <w:p w14:paraId="7027B2B3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Indeks noćenja za razdoblje 2018./2019. (izvor: e-Visitor);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10 bodova</w:t>
                  </w:r>
                </w:p>
                <w:p w14:paraId="3DFF6B8C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Održivost projekta za vrijeme i nakon završetka provedbe projekta;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10 bodova</w:t>
                  </w:r>
                </w:p>
                <w:p w14:paraId="0ACDB0B4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Sudjelovanje drugih subjekata iz javnog i/ili privatnog sektora u financiranju projekta;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5 bodova</w:t>
                  </w:r>
                </w:p>
                <w:p w14:paraId="1000B0E0" w14:textId="77777777" w:rsidR="00C278EB" w:rsidRPr="00C278EB" w:rsidRDefault="00C278EB" w:rsidP="00C278EB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Projekt se provodi u suradnji dvije ili više susjednih županija (npr. označavanje EuroVelo ruta);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5 bodova</w:t>
                  </w:r>
                </w:p>
                <w:p w14:paraId="058E3FCB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5214974C" w14:textId="77777777" w:rsidTr="00C278EB">
              <w:tc>
                <w:tcPr>
                  <w:tcW w:w="2390" w:type="dxa"/>
                  <w:shd w:val="clear" w:color="auto" w:fill="auto"/>
                </w:tcPr>
                <w:p w14:paraId="444F6213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472517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IZVOR FINANCIRANJA PROGRAMA</w:t>
                  </w:r>
                </w:p>
                <w:p w14:paraId="20ABFE8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0151232B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20BEE816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Državni proračun RH – Aktivnosti A587061</w:t>
                  </w:r>
                </w:p>
                <w:p w14:paraId="56DA6810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 ovaj program je osigurano 5.000.000,00 kn</w:t>
                  </w:r>
                </w:p>
                <w:p w14:paraId="13D70B83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BE16CB8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6FB8A4DC" w14:textId="77777777" w:rsidTr="00C278EB">
              <w:trPr>
                <w:trHeight w:val="567"/>
              </w:trPr>
              <w:tc>
                <w:tcPr>
                  <w:tcW w:w="2390" w:type="dxa"/>
                  <w:shd w:val="clear" w:color="auto" w:fill="auto"/>
                </w:tcPr>
                <w:p w14:paraId="7AFD313F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E573AA4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PRIHVATLJIVOST TROŠKOVA</w:t>
                  </w:r>
                </w:p>
                <w:p w14:paraId="5371900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46B020D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DE86A9C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84EDDB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49C261F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56F440A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891DFC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2F423B8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AF22493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671EB4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B5BCE65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C09DD1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173CAD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239943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65F8C4D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3A486C3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29D296B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EECED4F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258A8B9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E4D7D74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4DD2801D" w14:textId="77777777" w:rsidR="00C278EB" w:rsidRPr="00C278EB" w:rsidRDefault="00C278EB" w:rsidP="00C278EB">
                  <w:pPr>
                    <w:rPr>
                      <w:b/>
                      <w:bCs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1F89C27C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02F6E2BF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Prihvatljivi su troškovi:</w:t>
                  </w:r>
                </w:p>
                <w:p w14:paraId="546568BE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51701312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 dokumentacije (prometni elaborati i projektno tehnička dokumentacija za dogradnju/izgradnju biciklističkih staza);</w:t>
                  </w:r>
                </w:p>
                <w:p w14:paraId="53988669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Građevinski i zemljani radovi na biciklističkim rutama: asfaltiranje (samo za kraće sekcije), krčenje, raščišćavanje terena i sl.;</w:t>
                  </w:r>
                </w:p>
                <w:p w14:paraId="1D694110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Izrada/nabava/postavljanje biciklističke signalizacije i servisnih stanica za popravak bicikala duž rute;</w:t>
                  </w:r>
                </w:p>
                <w:p w14:paraId="69F1D143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Izrada/nabava/postavljanje info ploča o ruti i županiji kao cikloturističkoj destinaciji s logotipom svih glavnih i Eurovelo ruta koje se na trasi nalaze, a na važnim lokacijama uz rutu (početak i kraj rute, turističke atrakcije, glavna raskrižja više biciklističkih puteva, granični prijelazi, prijelazi mostova i riječne skele i sl.);</w:t>
                  </w:r>
                </w:p>
                <w:p w14:paraId="7CF5D7FE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 standarda za smještajne objekte namijenjenih smještaju cikloturista/biciklista;</w:t>
                  </w:r>
                </w:p>
                <w:p w14:paraId="7E6C379C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Izrada/nabava/postavljanje brojača biciklističkog kretanja prometa;</w:t>
                  </w:r>
                </w:p>
                <w:p w14:paraId="189E641E" w14:textId="77777777" w:rsidR="00C278EB" w:rsidRPr="00C278EB" w:rsidRDefault="00C278EB" w:rsidP="00C278EB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Opremanje i uređenje cikloturističkih odmorišta/vidikovca na cikloturističkim rutama i stazama.</w:t>
                  </w:r>
                </w:p>
                <w:p w14:paraId="0F73A3E6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62636F97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1BBCE72C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Porez na dodanu vrijednost, temeljem Zakona o porezu na dodanu</w:t>
                  </w:r>
                </w:p>
                <w:p w14:paraId="38FD4B5E" w14:textId="134408E5" w:rsidR="00C278EB" w:rsidRPr="00C278EB" w:rsidRDefault="00AC7499" w:rsidP="00C278EB">
                  <w:pPr>
                    <w:jc w:val="both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vrijednost (Narodne novine, broj</w:t>
                  </w:r>
                  <w:r w:rsidR="00C278EB" w:rsidRPr="00C278EB">
                    <w:rPr>
                      <w:lang w:eastAsia="hr-HR"/>
                    </w:rPr>
                    <w:t xml:space="preserve"> 73/13, 99/13, 148/13, 153/13,</w:t>
                  </w:r>
                </w:p>
                <w:p w14:paraId="68411A74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143/14, 115/16, 106/18 i 121/19) je prihvatljiv.</w:t>
                  </w:r>
                </w:p>
                <w:p w14:paraId="24A0D505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4918E47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sufinancira do 90% opravdanih/prihvatljivih</w:t>
                  </w:r>
                </w:p>
                <w:p w14:paraId="5B01F6FB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troškova provedbe pojedinačnog projekta.</w:t>
                  </w:r>
                </w:p>
                <w:p w14:paraId="20F395C7" w14:textId="77777777" w:rsid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29819AE5" w14:textId="77777777" w:rsidR="00823D38" w:rsidRDefault="00823D38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238B75AC" w14:textId="77777777" w:rsidR="00823D38" w:rsidRDefault="00823D38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756CF324" w14:textId="6C2005CD" w:rsidR="00823D38" w:rsidRPr="00C278EB" w:rsidRDefault="00823D38" w:rsidP="00C278E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C278EB" w:rsidRPr="00C278EB" w14:paraId="18DB423A" w14:textId="77777777" w:rsidTr="00C278EB">
              <w:trPr>
                <w:trHeight w:val="1701"/>
              </w:trPr>
              <w:tc>
                <w:tcPr>
                  <w:tcW w:w="2390" w:type="dxa"/>
                  <w:shd w:val="clear" w:color="auto" w:fill="auto"/>
                </w:tcPr>
                <w:p w14:paraId="199984A2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182064E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NAČIN PODNOŠENJA ZAHTJEVA</w:t>
                  </w:r>
                </w:p>
              </w:tc>
              <w:tc>
                <w:tcPr>
                  <w:tcW w:w="6961" w:type="dxa"/>
                </w:tcPr>
                <w:p w14:paraId="6438B4CD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E7D0DD6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Ministarstvo objavljuje Javni poziv za kandidiranje projekata za dodjelu potpora temeljem ovog Programa na internetskoj stranici Ministarstva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www.mint.gov.hr</w:t>
                  </w:r>
                  <w:r w:rsidRPr="00C278EB">
                    <w:rPr>
                      <w:color w:val="000000"/>
                      <w:lang w:eastAsia="hr-HR"/>
                    </w:rPr>
                    <w:t>.</w:t>
                  </w:r>
                </w:p>
                <w:p w14:paraId="4E88C420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FD8E35A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E96EAD4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 za dodjelu potpora podnosi se poštanskim putem ili osobno u zatvorenoj omotnici na adresu:</w:t>
                  </w:r>
                </w:p>
                <w:p w14:paraId="2EBBC007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73C28D81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09BB7A37" w14:textId="77777777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i/>
                      <w:color w:val="000000"/>
                      <w:lang w:eastAsia="hr-HR"/>
                    </w:rPr>
                    <w:t>Naziv i adresa prijavitelja</w:t>
                  </w:r>
                </w:p>
                <w:p w14:paraId="784C3644" w14:textId="77777777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</w:p>
                <w:p w14:paraId="1ECAC7F1" w14:textId="77777777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MINISTARSTVO TURIZMA RH</w:t>
                  </w:r>
                </w:p>
                <w:p w14:paraId="64651821" w14:textId="77777777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„Prijava na javni poziv – Program razvoja cikloturizma na kontinentu u 2020. godini."</w:t>
                  </w:r>
                </w:p>
                <w:p w14:paraId="155B90F1" w14:textId="77777777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Prisavlje 14</w:t>
                  </w:r>
                </w:p>
                <w:p w14:paraId="07061011" w14:textId="3C2D28E9" w:rsid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10 000 ZAGREB</w:t>
                  </w:r>
                </w:p>
                <w:p w14:paraId="0C50F532" w14:textId="425B37CA" w:rsidR="00C278EB" w:rsidRPr="00C278EB" w:rsidRDefault="00C278EB" w:rsidP="00C278E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494978E5" w14:textId="77777777" w:rsidTr="00C278EB">
              <w:trPr>
                <w:trHeight w:val="850"/>
              </w:trPr>
              <w:tc>
                <w:tcPr>
                  <w:tcW w:w="2390" w:type="dxa"/>
                  <w:shd w:val="clear" w:color="auto" w:fill="auto"/>
                </w:tcPr>
                <w:p w14:paraId="2E88745A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43E46CE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DOKUMENTACIJA </w:t>
                  </w:r>
                </w:p>
                <w:p w14:paraId="2D3282FB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KOJA SE </w:t>
                  </w:r>
                </w:p>
                <w:p w14:paraId="05D79F5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DOSTAVLJA  UZ ZAHTJEV</w:t>
                  </w:r>
                </w:p>
              </w:tc>
              <w:tc>
                <w:tcPr>
                  <w:tcW w:w="6961" w:type="dxa"/>
                </w:tcPr>
                <w:p w14:paraId="3C08A35F" w14:textId="77777777" w:rsidR="00C278EB" w:rsidRPr="00C278EB" w:rsidRDefault="00C278EB" w:rsidP="00C278E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hr-HR"/>
                    </w:rPr>
                  </w:pPr>
                </w:p>
                <w:p w14:paraId="32705A64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Ispunjeni obrazac CKL/20; </w:t>
                  </w:r>
                </w:p>
                <w:p w14:paraId="1B4870DE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Potvrda nadležne Porezne uprave o nepostojanju duga prema državi, ne starija od 30 dana;</w:t>
                  </w:r>
                </w:p>
                <w:p w14:paraId="451EB383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Troškovnik predloženog projekta sastavljen na temelju priloženih ponuda;</w:t>
                  </w:r>
                </w:p>
                <w:p w14:paraId="45D991A4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Kratki opis projekta za koji se traži potpora;</w:t>
                  </w:r>
                </w:p>
                <w:p w14:paraId="46B50D61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Za projekte koji su vezani za izgradnju, obnovu ili rekonstrukciju, korisnik potpore mora imati riješen vlasnički, drugi stvarno-pravni status ili nadležnost prema prostoru gdje će se realizirati predloženi projekt : </w:t>
                  </w:r>
                  <w:r w:rsidRPr="00C278EB">
                    <w:rPr>
                      <w:lang w:eastAsia="hr-HR"/>
                    </w:rPr>
                    <w:t>popis svih katastarskih čestica iz obuhvata projekta, izvadci iz zemljišnih knjiga (ZK uložak) za sve čestice iz obuhvata projekta. Za zemljište u vlasništvu RH potrebno je priložiti suglasnost na projekt Ministarstva državne imovine/ Hrvatskih šuma/ Hrvatskih voda itd.;</w:t>
                  </w:r>
                </w:p>
                <w:p w14:paraId="2ACF230C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Za projekte koji su vezani za označavanje i signalizaciju postojećih cikloturističkih ruta potrebno je priložiti prometni elaborat sukladno Zakonu o cestama (Narodne novine, broj 84/11, 22/13, 54/13, 148/13, 92/14 i 110/19);</w:t>
                  </w:r>
                </w:p>
                <w:p w14:paraId="678050E8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Ukoliko projekt ima lokacijsku ili građevinsku dozvolu (rješenje o uvjetima građenja) – isto je potrebno  priložiti;</w:t>
                  </w:r>
                </w:p>
                <w:p w14:paraId="40ACD469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Ukoliko projektima nije potrebna lokacijska ili građevinska dozvola (rješenje o uvjetima građenja) – potrebno je priložiti odgovarajuću potvrdu  temeljem Pravilnika o jednostavnim  i drugim građevinama i radovima);</w:t>
                  </w:r>
                </w:p>
                <w:p w14:paraId="415D8AD9" w14:textId="77777777" w:rsidR="00C278EB" w:rsidRPr="00C278EB" w:rsidRDefault="00C278EB" w:rsidP="00C278EB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Preslika cjelokupne postojeće projektne dokumentacije u elektronskom obliku na prijenosnoj memoriji (CD, DVD, USB).</w:t>
                  </w:r>
                </w:p>
                <w:p w14:paraId="3CA48458" w14:textId="77777777" w:rsidR="00C278EB" w:rsidRPr="00C278EB" w:rsidRDefault="00C278EB" w:rsidP="00C278E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0E75F1D3" w14:textId="77777777" w:rsidR="00C278EB" w:rsidRPr="00C278EB" w:rsidRDefault="00C278EB" w:rsidP="00C278E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*Ukoliko se radi o projektu koji se provodi na području dvije ili više susjednih županija, potrebno je dostaviti sporazum o suradnji između županija.</w:t>
                  </w:r>
                </w:p>
                <w:p w14:paraId="5DCAD490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126090F9" w14:textId="77777777" w:rsidTr="00C278EB">
              <w:trPr>
                <w:trHeight w:val="1215"/>
              </w:trPr>
              <w:tc>
                <w:tcPr>
                  <w:tcW w:w="2390" w:type="dxa"/>
                  <w:shd w:val="clear" w:color="auto" w:fill="auto"/>
                </w:tcPr>
                <w:p w14:paraId="22AFC834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4CA032A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ODBACUJU SE</w:t>
                  </w:r>
                </w:p>
                <w:p w14:paraId="38C4209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5723E8BF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  <w:p w14:paraId="17A4CCB1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284D6BF5" w14:textId="77777777" w:rsidR="00C278EB" w:rsidRPr="00C278EB" w:rsidRDefault="00C278EB" w:rsidP="00C278E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hr-HR"/>
                    </w:rPr>
                  </w:pPr>
                </w:p>
                <w:p w14:paraId="3D335EAF" w14:textId="77777777" w:rsidR="00C278EB" w:rsidRPr="00C278EB" w:rsidRDefault="00C278EB" w:rsidP="00C278EB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se ne dostave u roku;</w:t>
                  </w:r>
                </w:p>
                <w:p w14:paraId="76C440C1" w14:textId="77777777" w:rsidR="00C278EB" w:rsidRPr="00C278EB" w:rsidRDefault="00C278EB" w:rsidP="00C278EB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nedopuštenog predlagatelja;</w:t>
                  </w:r>
                </w:p>
                <w:p w14:paraId="61F51C81" w14:textId="77777777" w:rsidR="00C278EB" w:rsidRPr="00C278EB" w:rsidRDefault="00C278EB" w:rsidP="00C278EB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su nejasni;</w:t>
                  </w:r>
                </w:p>
                <w:p w14:paraId="13536C63" w14:textId="77777777" w:rsidR="00C278EB" w:rsidRPr="00C278EB" w:rsidRDefault="00C278EB" w:rsidP="00C278EB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nisu u skladu s Programom.</w:t>
                  </w:r>
                </w:p>
                <w:p w14:paraId="0271DE8C" w14:textId="77777777" w:rsidR="00C278EB" w:rsidRPr="00C278EB" w:rsidRDefault="00C278EB" w:rsidP="00C278EB">
                  <w:pPr>
                    <w:ind w:left="720"/>
                    <w:contextualSpacing/>
                    <w:rPr>
                      <w:color w:val="000000"/>
                      <w:lang w:eastAsia="hr-HR"/>
                    </w:rPr>
                  </w:pPr>
                </w:p>
                <w:p w14:paraId="65734666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</w:tc>
            </w:tr>
            <w:tr w:rsidR="00C278EB" w:rsidRPr="00C278EB" w14:paraId="7DAB3B30" w14:textId="77777777" w:rsidTr="00C278EB">
              <w:trPr>
                <w:trHeight w:val="967"/>
              </w:trPr>
              <w:tc>
                <w:tcPr>
                  <w:tcW w:w="2390" w:type="dxa"/>
                  <w:shd w:val="clear" w:color="auto" w:fill="auto"/>
                </w:tcPr>
                <w:p w14:paraId="1DA669B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43343D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PODNOŠENJE PRIJAVA</w:t>
                  </w:r>
                </w:p>
                <w:p w14:paraId="0DBF44B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7DBBC245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2718CE33" w14:textId="77777777" w:rsidR="00C278EB" w:rsidRPr="00C278EB" w:rsidRDefault="00C278EB" w:rsidP="00C278EB">
                  <w:pPr>
                    <w:jc w:val="both"/>
                    <w:rPr>
                      <w:b/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Zahtjevi temeljem Javnog poziva zaprimaju se </w:t>
                  </w:r>
                  <w:r w:rsidRPr="00C278EB">
                    <w:rPr>
                      <w:b/>
                      <w:lang w:eastAsia="hr-HR"/>
                    </w:rPr>
                    <w:t>zaključno s datumom 13. ožujka 2020. god.</w:t>
                  </w:r>
                </w:p>
              </w:tc>
            </w:tr>
            <w:tr w:rsidR="00C278EB" w:rsidRPr="00C278EB" w14:paraId="0004FF51" w14:textId="77777777" w:rsidTr="00C278EB">
              <w:trPr>
                <w:trHeight w:val="567"/>
              </w:trPr>
              <w:tc>
                <w:tcPr>
                  <w:tcW w:w="2390" w:type="dxa"/>
                  <w:shd w:val="clear" w:color="auto" w:fill="auto"/>
                </w:tcPr>
                <w:p w14:paraId="2D0A9746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0A5A3592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POSTUPAK </w:t>
                  </w:r>
                </w:p>
                <w:p w14:paraId="41C5CD0C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ODOBRAVANJA PROJEKATA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5C58293D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D32E7DF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Sredstva će se odobravati prema bodovnoj listi te se postotak potpore određuje sukladno ostvarenim bodovima.</w:t>
                  </w:r>
                </w:p>
                <w:p w14:paraId="64F62044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Stručna radna skupina za obradu zahtjeva, koju imenuje predsjednik</w:t>
                  </w:r>
                </w:p>
                <w:p w14:paraId="5140AAC4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Povjerenstva, zaprima i obrađuje pristigle zahtjeve, provjerava da li</w:t>
                  </w:r>
                </w:p>
                <w:p w14:paraId="38E407C8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predlagatelji zadovoljavaju propisane uvjete javnog poziva te</w:t>
                  </w:r>
                </w:p>
                <w:p w14:paraId="1F0B50AF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priprema prijedlog ocjene (vrednovanja) projekata sukladno kriterijima koji dostavlja Povjerenstvu. Povjerenstvo, koje imenuje ministar turizma, donosi prijedlog odluke o odabiru projekata i</w:t>
                  </w:r>
                </w:p>
                <w:p w14:paraId="102318ED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dodjeli potpora sukladno utvrđenim bodovima te ga dostavlja</w:t>
                  </w:r>
                </w:p>
                <w:p w14:paraId="2D7FFD49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ministru radi donošenja odluke. Ministar, temeljem prijedloga odluke Povjerenstva, donosi odluku o odabiru projekata i dodjeli potpora.</w:t>
                  </w:r>
                </w:p>
                <w:p w14:paraId="2224B469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Nakon objave odluke na internetskim stranicama Ministarstva s</w:t>
                  </w:r>
                </w:p>
                <w:p w14:paraId="7529E048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korisnikom se sklapa ugovor o međusobnim pravima i obvezama, nadzoru namjenskog korištenja sredstava i instrumentima osiguranja za dodijeljena sredstva (bjanko zadužnica na propisani prvi veći iznos odobrenih sredstava solemnizirana od strane javnog bilježnika, koju Ministarstvo zadržava sve do konačnog završetka projekta/programa/aktivnosti). Nakon donošenja odluke,  Povjerenstvo prati provedbu projekata, razmatra slučajeve neispunjenja ugovornih obveza i predlaže ministru poduzimanje mjera.</w:t>
                  </w:r>
                </w:p>
                <w:p w14:paraId="628E1693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lang w:eastAsia="hr-HR"/>
                    </w:rPr>
                  </w:pPr>
                </w:p>
              </w:tc>
            </w:tr>
            <w:tr w:rsidR="00C278EB" w:rsidRPr="00C278EB" w14:paraId="2DBC6CEC" w14:textId="77777777" w:rsidTr="00C278EB">
              <w:trPr>
                <w:trHeight w:val="1320"/>
              </w:trPr>
              <w:tc>
                <w:tcPr>
                  <w:tcW w:w="2390" w:type="dxa"/>
                  <w:shd w:val="clear" w:color="auto" w:fill="auto"/>
                </w:tcPr>
                <w:p w14:paraId="5AC367D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573A3C3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DONOŠENJE ODLUKE</w:t>
                  </w:r>
                </w:p>
                <w:p w14:paraId="105E2C76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14:paraId="07DC5C53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lang w:eastAsia="hr-HR"/>
                    </w:rPr>
                  </w:pPr>
                </w:p>
                <w:p w14:paraId="2BCE8B22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Odluka će se donijeti najkasnije u roku 30 dana od dana zatvaranja Javnog poziva, uz iznimno odstupanje od navedenog roka u slučaju nepredviđenih okolnosti.</w:t>
                  </w:r>
                </w:p>
              </w:tc>
            </w:tr>
            <w:tr w:rsidR="00C278EB" w:rsidRPr="00C278EB" w14:paraId="3A543B21" w14:textId="77777777" w:rsidTr="00C278EB">
              <w:trPr>
                <w:trHeight w:val="1559"/>
              </w:trPr>
              <w:tc>
                <w:tcPr>
                  <w:tcW w:w="2390" w:type="dxa"/>
                  <w:shd w:val="clear" w:color="auto" w:fill="auto"/>
                </w:tcPr>
                <w:p w14:paraId="30AB5DD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93C0594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OBJAVA ODLUKE KORISNIKA </w:t>
                  </w:r>
                </w:p>
                <w:p w14:paraId="4EAEDE00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  <w:p w14:paraId="25877AAC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5979D5B3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2081D3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Odluka s popisom korisnika i iznosom dodijeljenih sredstava po korisniku bit će objavljena na internetskim stranicama Ministarstva  (</w:t>
                  </w:r>
                  <w:hyperlink r:id="rId14" w:history="1">
                    <w:r w:rsidRPr="00C278EB">
                      <w:rPr>
                        <w:color w:val="0000FF"/>
                        <w:u w:val="single"/>
                        <w:lang w:eastAsia="hr-HR"/>
                      </w:rPr>
                      <w:t>www.mint.gov.hr</w:t>
                    </w:r>
                  </w:hyperlink>
                  <w:r w:rsidRPr="00C278EB">
                    <w:rPr>
                      <w:lang w:eastAsia="hr-HR"/>
                    </w:rPr>
                    <w:t xml:space="preserve"> </w:t>
                  </w:r>
                  <w:r w:rsidRPr="00C278EB">
                    <w:rPr>
                      <w:color w:val="000000"/>
                      <w:lang w:eastAsia="hr-HR"/>
                    </w:rPr>
                    <w:t>).</w:t>
                  </w:r>
                </w:p>
                <w:p w14:paraId="7C5614CE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0D6921C5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Kandidati koji ne zadovolje uvjete javnog poziva neće biti posebno pojedinačno obaviješteni.</w:t>
                  </w:r>
                </w:p>
                <w:p w14:paraId="15412AA8" w14:textId="63ED6D45" w:rsid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2685D1ED" w14:textId="76D32D1D" w:rsidR="001A56C0" w:rsidRDefault="001A56C0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1E769E55" w14:textId="77777777" w:rsidR="001A56C0" w:rsidRPr="00C278EB" w:rsidRDefault="001A56C0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000E2954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C278EB" w:rsidRPr="00C278EB" w14:paraId="2BC6F9BB" w14:textId="77777777" w:rsidTr="00C278EB">
              <w:trPr>
                <w:trHeight w:val="80"/>
              </w:trPr>
              <w:tc>
                <w:tcPr>
                  <w:tcW w:w="2390" w:type="dxa"/>
                  <w:shd w:val="clear" w:color="auto" w:fill="auto"/>
                </w:tcPr>
                <w:p w14:paraId="4C6D42FF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6B0083B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POTPISIVANJE UGOVORA</w:t>
                  </w:r>
                </w:p>
                <w:p w14:paraId="7A387FDE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14:paraId="648E6FF1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476959F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će s odabranim korisnicima potpisati ugovor najkasnije u roku 15 dana od dana objave Odluke.</w:t>
                  </w:r>
                </w:p>
                <w:p w14:paraId="2FAD951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313DD2A6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C278EB" w:rsidRPr="00C278EB" w14:paraId="74952A63" w14:textId="77777777" w:rsidTr="00C278EB">
              <w:tc>
                <w:tcPr>
                  <w:tcW w:w="2390" w:type="dxa"/>
                  <w:shd w:val="clear" w:color="auto" w:fill="auto"/>
                </w:tcPr>
                <w:p w14:paraId="0B67431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385A020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NAČIN ISPLATE SREDSTAVA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085CAC24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6644A39D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Ministarstvo će odobrena sredstva isplatiti na žiro račun korisnika u dva dijela:  50% po potpisivanju ugovora, a </w:t>
                  </w:r>
                  <w:r w:rsidRPr="00C278EB">
                    <w:rPr>
                      <w:b/>
                      <w:lang w:eastAsia="hr-HR"/>
                    </w:rPr>
                    <w:t>do</w:t>
                  </w:r>
                  <w:r w:rsidRPr="00C278EB">
                    <w:rPr>
                      <w:lang w:eastAsia="hr-HR"/>
                    </w:rPr>
                    <w:t xml:space="preserve"> 50% po prihvaćenom završnom pisanom izvješću sa svim potrebitim dokazima o ispunjenju preuzetih ugovornih obveza na način da ukupan iznos potpore ne može premašiti iznos veći od 90% ukupno prihvatljivih troškova  projekta.</w:t>
                  </w:r>
                </w:p>
                <w:p w14:paraId="7245A343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315735CD" w14:textId="77777777" w:rsidTr="00C278EB">
              <w:tc>
                <w:tcPr>
                  <w:tcW w:w="2390" w:type="dxa"/>
                  <w:shd w:val="clear" w:color="auto" w:fill="auto"/>
                </w:tcPr>
                <w:p w14:paraId="19880B48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325919D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OBVEZE KORISNIKA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23500050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4F28D374" w14:textId="77777777" w:rsidR="00C278EB" w:rsidRPr="00C278EB" w:rsidRDefault="00C278EB" w:rsidP="00C278EB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Sredstva treba koristiti namjenski i u ugovorenom roku - do </w:t>
                  </w:r>
                  <w:r w:rsidRPr="00C278EB">
                    <w:rPr>
                      <w:b/>
                      <w:lang w:eastAsia="hr-HR"/>
                    </w:rPr>
                    <w:t>30. studenoga</w:t>
                  </w:r>
                  <w:r w:rsidRPr="00C278EB">
                    <w:rPr>
                      <w:lang w:eastAsia="hr-HR"/>
                    </w:rPr>
                    <w:t xml:space="preserve"> 2020. godine;</w:t>
                  </w:r>
                </w:p>
                <w:p w14:paraId="6C44F389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2C3FCC47" w14:textId="77777777" w:rsidR="00C278EB" w:rsidRPr="00C278EB" w:rsidRDefault="00C278EB" w:rsidP="00C278EB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Završno pisano izvješće o provedenim aktivnostima i radovima s pratećom dokumentacijom (preslike računa i virmana s priloženim potvrdama o plaćanju, detaljna fotodokumentacija realiziranih aktivnosti);</w:t>
                  </w:r>
                </w:p>
                <w:p w14:paraId="268C7CDD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769EDF2E" w14:textId="77777777" w:rsidR="00C278EB" w:rsidRPr="00C278EB" w:rsidRDefault="00C278EB" w:rsidP="00C278EB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 Na zahtjev Ministarstva dostaviti i dodatnu, naknadno traženu dokumentaciju.</w:t>
                  </w:r>
                </w:p>
                <w:p w14:paraId="47E4F10E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35007DFA" w14:textId="77777777" w:rsidR="00C278EB" w:rsidRPr="00C278EB" w:rsidRDefault="00C278EB" w:rsidP="00C278EB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Korisnik je dužan obavijestiti Ministarstvo ukoliko ostvari financiranje predloženih aktivnosti iz drugih izvora, a radi izbjegavanja dvostrukog financiranja.</w:t>
                  </w:r>
                </w:p>
                <w:p w14:paraId="6EEDBC21" w14:textId="77777777" w:rsidR="00C278EB" w:rsidRPr="00C278EB" w:rsidRDefault="00C278EB" w:rsidP="00C278EB">
                  <w:pPr>
                    <w:autoSpaceDE w:val="0"/>
                    <w:autoSpaceDN w:val="0"/>
                    <w:jc w:val="both"/>
                    <w:rPr>
                      <w:color w:val="4F81BD"/>
                      <w:lang w:eastAsia="hr-HR"/>
                    </w:rPr>
                  </w:pPr>
                </w:p>
              </w:tc>
            </w:tr>
            <w:tr w:rsidR="00C278EB" w:rsidRPr="00C278EB" w14:paraId="58A01A8E" w14:textId="77777777" w:rsidTr="00C278EB">
              <w:tc>
                <w:tcPr>
                  <w:tcW w:w="2390" w:type="dxa"/>
                  <w:shd w:val="clear" w:color="auto" w:fill="auto"/>
                </w:tcPr>
                <w:p w14:paraId="79B7BE0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19021A77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NADZOR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00BE0DE4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1627A252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Ministarstvo obavlja nadzor nad namjenskim korištenjem sredstava Državnog proračuna putem: </w:t>
                  </w:r>
                </w:p>
                <w:p w14:paraId="098AEA00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313FC88C" w14:textId="77777777" w:rsidR="00C278EB" w:rsidRPr="00C278EB" w:rsidRDefault="00C278EB" w:rsidP="00C278EB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završnog pisanog izvješća o provedenim aktivnostima i radovima s pratećom dokumentacijom ;</w:t>
                  </w:r>
                </w:p>
                <w:p w14:paraId="76FD6A13" w14:textId="77777777" w:rsidR="00C278EB" w:rsidRPr="00C278EB" w:rsidRDefault="00C278EB" w:rsidP="00C278E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72DB60D5" w14:textId="77777777" w:rsidR="00C278EB" w:rsidRPr="00C278EB" w:rsidRDefault="00C278EB" w:rsidP="00C278EB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nadzorom na licu mjesta kod korisnika sredstava. </w:t>
                  </w:r>
                </w:p>
                <w:p w14:paraId="651ED29F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6A8318B7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*Nalozi za plaćanje, kompenzacije i cesije, ponude i predračuni </w:t>
                  </w:r>
                  <w:r w:rsidRPr="00C278EB">
                    <w:rPr>
                      <w:u w:val="single"/>
                      <w:lang w:eastAsia="hr-HR"/>
                    </w:rPr>
                    <w:t>neće</w:t>
                  </w:r>
                  <w:r w:rsidRPr="00C278EB">
                    <w:rPr>
                      <w:lang w:eastAsia="hr-HR"/>
                    </w:rPr>
                    <w:t xml:space="preserve"> se smatrati prihvatljivim dokazima o plaćanju.</w:t>
                  </w:r>
                </w:p>
                <w:p w14:paraId="42582775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  <w:p w14:paraId="4AEE7A76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U slučaju utvrđivanja objektivnih okolnosti koje su utjecale na nemogućnost ispunjenja obveza koje proizlaze iz ovog Programa i koje su utvrđene Ugovorom, korisnik sredstava je dužan sukladno ugovorenim uvjetima o tome obavijestiti Ministarstvo pisanim putem. </w:t>
                  </w:r>
                </w:p>
                <w:p w14:paraId="39DCDB3B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8D34285" w14:textId="47A4F2D4" w:rsid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U slučaju utvrđivanja nepravilnosti u korištenju odobrenih sredstava donosi se Odluka o povratu sredstava. </w:t>
                  </w:r>
                </w:p>
                <w:p w14:paraId="1E048197" w14:textId="2DEC37C7" w:rsidR="001A56C0" w:rsidRDefault="001A56C0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5A24906D" w14:textId="77777777" w:rsidR="001A56C0" w:rsidRPr="00C278EB" w:rsidRDefault="001A56C0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0BABCB3A" w14:textId="77777777" w:rsidR="00C278EB" w:rsidRPr="00C278EB" w:rsidRDefault="00C278EB" w:rsidP="00C278E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C278EB" w:rsidRPr="00C278EB" w14:paraId="465D0E41" w14:textId="77777777" w:rsidTr="00C278EB">
              <w:tc>
                <w:tcPr>
                  <w:tcW w:w="2390" w:type="dxa"/>
                  <w:shd w:val="clear" w:color="auto" w:fill="auto"/>
                </w:tcPr>
                <w:p w14:paraId="1127930E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</w:p>
                <w:p w14:paraId="36412EEB" w14:textId="77777777" w:rsidR="00C278EB" w:rsidRPr="00C278EB" w:rsidRDefault="00C278EB" w:rsidP="00C278E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ZAVRŠNE ODREDBE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7DB1B500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</w:p>
                <w:p w14:paraId="2579B3B8" w14:textId="77777777" w:rsidR="00C278EB" w:rsidRPr="00C278EB" w:rsidRDefault="00C278EB" w:rsidP="00C278EB">
                  <w:pPr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zadržava pravo izmjena i dopuna ovog otvorenog Programa.</w:t>
                  </w:r>
                </w:p>
                <w:p w14:paraId="48F050EA" w14:textId="77777777" w:rsidR="00C278EB" w:rsidRPr="00C278EB" w:rsidRDefault="00C278EB" w:rsidP="00C278E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</w:tbl>
          <w:p w14:paraId="7AF8A701" w14:textId="77777777" w:rsidR="00C278EB" w:rsidRPr="00C278EB" w:rsidRDefault="00C278EB" w:rsidP="00C278EB">
            <w:pPr>
              <w:autoSpaceDE w:val="0"/>
              <w:autoSpaceDN w:val="0"/>
              <w:jc w:val="both"/>
              <w:rPr>
                <w:color w:val="000000"/>
                <w:lang w:eastAsia="hr-HR"/>
              </w:rPr>
            </w:pPr>
          </w:p>
          <w:p w14:paraId="302BD7F0" w14:textId="77777777" w:rsidR="00C278EB" w:rsidRPr="00C278EB" w:rsidRDefault="00C278EB" w:rsidP="00C278E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                                                                                                     </w:t>
            </w:r>
          </w:p>
          <w:p w14:paraId="1D07CE5B" w14:textId="77777777" w:rsidR="00C278EB" w:rsidRPr="00C278EB" w:rsidRDefault="00C278EB" w:rsidP="00C278EB">
            <w:pPr>
              <w:jc w:val="center"/>
              <w:rPr>
                <w:b/>
                <w:lang w:eastAsia="hr-HR"/>
              </w:rPr>
            </w:pPr>
          </w:p>
          <w:p w14:paraId="4F844D6D" w14:textId="5DEF73F5" w:rsidR="00C278EB" w:rsidRPr="00C278EB" w:rsidRDefault="00C278EB" w:rsidP="00C278EB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             </w:t>
            </w:r>
          </w:p>
          <w:p w14:paraId="219B3CAB" w14:textId="77777777" w:rsidR="00C278EB" w:rsidRPr="00C278EB" w:rsidRDefault="00C278EB" w:rsidP="00C278E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  <w:t xml:space="preserve">MINISTAR     </w:t>
            </w:r>
          </w:p>
          <w:p w14:paraId="5B733F71" w14:textId="77777777" w:rsidR="00C278EB" w:rsidRPr="00C278EB" w:rsidRDefault="00C278EB" w:rsidP="00C278E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                                                                                                          </w:t>
            </w:r>
          </w:p>
          <w:p w14:paraId="6F55AB4A" w14:textId="77777777" w:rsidR="00C278EB" w:rsidRPr="00C278EB" w:rsidRDefault="00C278EB" w:rsidP="00C278E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  <w:t>Gari Cappelli</w:t>
            </w:r>
          </w:p>
          <w:p w14:paraId="44991C89" w14:textId="77777777" w:rsidR="00C278EB" w:rsidRPr="00C278EB" w:rsidRDefault="00C278EB" w:rsidP="00C278EB">
            <w:pPr>
              <w:rPr>
                <w:b/>
                <w:lang w:eastAsia="hr-HR"/>
              </w:rPr>
            </w:pPr>
          </w:p>
          <w:p w14:paraId="40E887EA" w14:textId="77777777" w:rsidR="00C278EB" w:rsidRPr="00C278EB" w:rsidRDefault="00C278EB" w:rsidP="00C278EB">
            <w:pPr>
              <w:rPr>
                <w:b/>
                <w:lang w:eastAsia="hr-HR"/>
              </w:rPr>
            </w:pPr>
          </w:p>
          <w:p w14:paraId="33B2F52C" w14:textId="363EC742" w:rsidR="00C278EB" w:rsidRPr="00C278EB" w:rsidRDefault="00C278EB" w:rsidP="00C278EB">
            <w:pPr>
              <w:rPr>
                <w:lang w:eastAsia="hr-HR"/>
              </w:rPr>
            </w:pPr>
            <w:r w:rsidRPr="00C278EB">
              <w:rPr>
                <w:lang w:eastAsia="hr-HR"/>
              </w:rPr>
              <w:t xml:space="preserve">KLASA: </w:t>
            </w:r>
            <w:r>
              <w:rPr>
                <w:lang w:eastAsia="hr-HR"/>
              </w:rPr>
              <w:t>334-07/20-07/1</w:t>
            </w:r>
          </w:p>
          <w:p w14:paraId="737478AA" w14:textId="5F078A7A" w:rsidR="00C278EB" w:rsidRPr="00C278EB" w:rsidRDefault="00C278EB" w:rsidP="00C278EB">
            <w:pPr>
              <w:rPr>
                <w:lang w:eastAsia="hr-HR"/>
              </w:rPr>
            </w:pPr>
            <w:r w:rsidRPr="00C278EB">
              <w:rPr>
                <w:lang w:eastAsia="hr-HR"/>
              </w:rPr>
              <w:t xml:space="preserve">URBROJ: </w:t>
            </w:r>
            <w:r>
              <w:rPr>
                <w:lang w:eastAsia="hr-HR"/>
              </w:rPr>
              <w:t>529-05-02-01-02/1-20-1</w:t>
            </w:r>
          </w:p>
          <w:p w14:paraId="5646103C" w14:textId="76F2C61C" w:rsidR="00C278EB" w:rsidRPr="00C278EB" w:rsidRDefault="00C278EB" w:rsidP="00C278EB">
            <w:pPr>
              <w:rPr>
                <w:lang w:eastAsia="hr-HR"/>
              </w:rPr>
            </w:pPr>
            <w:r w:rsidRPr="00C278EB">
              <w:rPr>
                <w:lang w:eastAsia="hr-HR"/>
              </w:rPr>
              <w:t xml:space="preserve">Zagreb, </w:t>
            </w:r>
            <w:bookmarkStart w:id="2" w:name="Naziv_primatelja"/>
            <w:r w:rsidR="00385707">
              <w:rPr>
                <w:lang w:eastAsia="hr-HR"/>
              </w:rPr>
              <w:t>6</w:t>
            </w:r>
            <w:r w:rsidRPr="00C278EB">
              <w:rPr>
                <w:lang w:eastAsia="hr-HR"/>
              </w:rPr>
              <w:t>. veljače 2020.</w:t>
            </w:r>
            <w:r w:rsidRPr="00C278EB">
              <w:rPr>
                <w:color w:val="000000"/>
                <w:lang w:eastAsia="hr-HR"/>
              </w:rPr>
              <w:fldChar w:fldCharType="begin">
                <w:ffData>
                  <w:name w:val="Naziv_primatelja"/>
                  <w:enabled/>
                  <w:calcOnExit w:val="0"/>
                  <w:textInput/>
                </w:ffData>
              </w:fldChar>
            </w:r>
            <w:r w:rsidRPr="00C278EB">
              <w:rPr>
                <w:color w:val="000000"/>
                <w:lang w:eastAsia="hr-HR"/>
              </w:rPr>
              <w:instrText xml:space="preserve"> FORMTEXT </w:instrText>
            </w:r>
            <w:r w:rsidR="00AA031D">
              <w:rPr>
                <w:color w:val="000000"/>
                <w:lang w:eastAsia="hr-HR"/>
              </w:rPr>
            </w:r>
            <w:r w:rsidR="00AA031D">
              <w:rPr>
                <w:color w:val="000000"/>
                <w:lang w:eastAsia="hr-HR"/>
              </w:rPr>
              <w:fldChar w:fldCharType="separate"/>
            </w:r>
            <w:r w:rsidRPr="00C278EB">
              <w:rPr>
                <w:color w:val="000000"/>
                <w:lang w:eastAsia="hr-HR"/>
              </w:rPr>
              <w:fldChar w:fldCharType="end"/>
            </w:r>
            <w:bookmarkEnd w:id="2"/>
            <w:r w:rsidRPr="00C278EB">
              <w:rPr>
                <w:color w:val="000000"/>
                <w:lang w:eastAsia="hr-HR"/>
              </w:rPr>
              <w:br/>
            </w:r>
            <w:bookmarkStart w:id="3" w:name="Adresa_primatelja"/>
            <w:r w:rsidRPr="00C278EB">
              <w:rPr>
                <w:color w:val="000000"/>
                <w:lang w:eastAsia="hr-HR"/>
              </w:rPr>
              <w:fldChar w:fldCharType="begin">
                <w:ffData>
                  <w:name w:val="Adresa_primatelja"/>
                  <w:enabled/>
                  <w:calcOnExit w:val="0"/>
                  <w:textInput/>
                </w:ffData>
              </w:fldChar>
            </w:r>
            <w:r w:rsidRPr="00C278EB">
              <w:rPr>
                <w:color w:val="000000"/>
                <w:lang w:eastAsia="hr-HR"/>
              </w:rPr>
              <w:instrText xml:space="preserve"> FORMTEXT </w:instrText>
            </w:r>
            <w:r w:rsidR="00AA031D">
              <w:rPr>
                <w:color w:val="000000"/>
                <w:lang w:eastAsia="hr-HR"/>
              </w:rPr>
            </w:r>
            <w:r w:rsidR="00AA031D">
              <w:rPr>
                <w:color w:val="000000"/>
                <w:lang w:eastAsia="hr-HR"/>
              </w:rPr>
              <w:fldChar w:fldCharType="separate"/>
            </w:r>
            <w:r w:rsidRPr="00C278EB">
              <w:rPr>
                <w:color w:val="000000"/>
                <w:lang w:eastAsia="hr-HR"/>
              </w:rPr>
              <w:fldChar w:fldCharType="end"/>
            </w:r>
            <w:bookmarkEnd w:id="3"/>
            <w:r w:rsidRPr="00C278EB">
              <w:rPr>
                <w:color w:val="000000"/>
                <w:lang w:eastAsia="hr-HR"/>
              </w:rPr>
              <w:br/>
            </w:r>
            <w:bookmarkStart w:id="4" w:name="PTT_Primatelja"/>
            <w:r w:rsidRPr="00C278EB">
              <w:rPr>
                <w:color w:val="000000"/>
                <w:lang w:eastAsia="hr-HR"/>
              </w:rPr>
              <w:fldChar w:fldCharType="begin">
                <w:ffData>
                  <w:name w:val="PTT_Primatelja"/>
                  <w:enabled/>
                  <w:calcOnExit w:val="0"/>
                  <w:textInput/>
                </w:ffData>
              </w:fldChar>
            </w:r>
            <w:r w:rsidRPr="00C278EB">
              <w:rPr>
                <w:color w:val="000000"/>
                <w:lang w:eastAsia="hr-HR"/>
              </w:rPr>
              <w:instrText xml:space="preserve"> FORMTEXT </w:instrText>
            </w:r>
            <w:r w:rsidR="00AA031D">
              <w:rPr>
                <w:color w:val="000000"/>
                <w:lang w:eastAsia="hr-HR"/>
              </w:rPr>
            </w:r>
            <w:r w:rsidR="00AA031D">
              <w:rPr>
                <w:color w:val="000000"/>
                <w:lang w:eastAsia="hr-HR"/>
              </w:rPr>
              <w:fldChar w:fldCharType="separate"/>
            </w:r>
            <w:r w:rsidRPr="00C278EB">
              <w:rPr>
                <w:color w:val="000000"/>
                <w:lang w:eastAsia="hr-HR"/>
              </w:rPr>
              <w:fldChar w:fldCharType="end"/>
            </w:r>
            <w:bookmarkEnd w:id="4"/>
          </w:p>
          <w:p w14:paraId="7551537E" w14:textId="77777777" w:rsidR="00992CDC" w:rsidRPr="00992CDC" w:rsidRDefault="00AA031D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5515380" w14:textId="77777777" w:rsidR="00BC52AA" w:rsidRPr="00992CDC" w:rsidRDefault="00AA031D" w:rsidP="00BC52AA">
            <w:pPr>
              <w:jc w:val="center"/>
              <w:rPr>
                <w:b/>
              </w:rPr>
            </w:pPr>
          </w:p>
        </w:tc>
      </w:tr>
      <w:tr w:rsidR="00C278EB" w14:paraId="7088AC55" w14:textId="77777777" w:rsidTr="00C278EB">
        <w:tc>
          <w:tcPr>
            <w:tcW w:w="9577" w:type="dxa"/>
            <w:shd w:val="clear" w:color="auto" w:fill="auto"/>
          </w:tcPr>
          <w:p w14:paraId="30036423" w14:textId="77777777" w:rsidR="00C278EB" w:rsidRPr="00992CDC" w:rsidRDefault="00C278EB" w:rsidP="00C278EB">
            <w:pPr>
              <w:tabs>
                <w:tab w:val="right" w:pos="9361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0D2571BA" w14:textId="77777777" w:rsidR="00C278EB" w:rsidRPr="00992CDC" w:rsidRDefault="00C278EB" w:rsidP="00BC52AA">
            <w:pPr>
              <w:jc w:val="center"/>
              <w:rPr>
                <w:b/>
              </w:rPr>
            </w:pPr>
          </w:p>
        </w:tc>
      </w:tr>
    </w:tbl>
    <w:p w14:paraId="75515385" w14:textId="768F7E70" w:rsidR="00BC52AA" w:rsidRPr="00C278EB" w:rsidRDefault="00C278EB" w:rsidP="00C278EB">
      <w:pPr>
        <w:tabs>
          <w:tab w:val="left" w:pos="1134"/>
          <w:tab w:val="left" w:pos="5024"/>
        </w:tabs>
      </w:pPr>
      <w:r w:rsidRPr="00157802">
        <w:tab/>
      </w:r>
      <w:bookmarkEnd w:id="0"/>
    </w:p>
    <w:sectPr w:rsidR="00BC52AA" w:rsidRPr="00C278EB" w:rsidSect="00C63F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5088" w14:textId="77777777" w:rsidR="00AA031D" w:rsidRDefault="00AA031D">
      <w:r>
        <w:separator/>
      </w:r>
    </w:p>
  </w:endnote>
  <w:endnote w:type="continuationSeparator" w:id="0">
    <w:p w14:paraId="13A2CA49" w14:textId="77777777" w:rsidR="00AA031D" w:rsidRDefault="00A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F357" w14:textId="77777777" w:rsidR="00823D38" w:rsidRDefault="0082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5680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_GoBack" w:displacedByCustomXml="prev"/>
      <w:bookmarkEnd w:id="5" w:displacedByCustomXml="prev"/>
      <w:p w14:paraId="3423606F" w14:textId="497D5139" w:rsidR="00823D38" w:rsidRDefault="00823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80AEB9" w14:textId="77777777" w:rsidR="00823D38" w:rsidRDefault="00823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EAC6" w14:textId="77777777" w:rsidR="00823D38" w:rsidRDefault="0082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8577" w14:textId="77777777" w:rsidR="00AA031D" w:rsidRDefault="00AA031D">
      <w:r>
        <w:separator/>
      </w:r>
    </w:p>
  </w:footnote>
  <w:footnote w:type="continuationSeparator" w:id="0">
    <w:p w14:paraId="70C91357" w14:textId="77777777" w:rsidR="00AA031D" w:rsidRDefault="00AA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245C" w14:textId="77777777" w:rsidR="00823D38" w:rsidRDefault="00823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34B4" w14:textId="77777777" w:rsidR="00823D38" w:rsidRDefault="00823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F4D2" w14:textId="77777777" w:rsidR="00823D38" w:rsidRDefault="0082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5BE"/>
    <w:multiLevelType w:val="hybridMultilevel"/>
    <w:tmpl w:val="D452F59A"/>
    <w:lvl w:ilvl="0" w:tplc="D98AFE38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68E0EFC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9404C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CCCF7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2A85F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BD87D1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D08DFB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EC0B9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868CDB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4BD818FC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BD1A421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3CA212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F7224F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1F0286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CE4599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C54DB8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BE8F4E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FA89C5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BF0496"/>
    <w:multiLevelType w:val="hybridMultilevel"/>
    <w:tmpl w:val="2EFA8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072"/>
    <w:multiLevelType w:val="hybridMultilevel"/>
    <w:tmpl w:val="58BA6324"/>
    <w:lvl w:ilvl="0" w:tplc="C7DCE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428B"/>
    <w:multiLevelType w:val="hybridMultilevel"/>
    <w:tmpl w:val="2D28E6BC"/>
    <w:lvl w:ilvl="0" w:tplc="8E52561E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CDA4DB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2DC293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A28B86A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CB8B46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9DEAEDA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72386390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1D46ED0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7FA07F2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6DD4"/>
    <w:multiLevelType w:val="hybridMultilevel"/>
    <w:tmpl w:val="D1C4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8A8E0A1E">
      <w:start w:val="1"/>
      <w:numFmt w:val="decimal"/>
      <w:lvlText w:val="%3."/>
      <w:lvlJc w:val="left"/>
      <w:pPr>
        <w:ind w:left="360" w:hanging="360"/>
      </w:pPr>
      <w:rPr>
        <w:rFonts w:ascii="Arial Narrow" w:eastAsia="Times New Roman" w:hAnsi="Arial Narrow" w:cs="ArialNarrow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C7F44"/>
    <w:multiLevelType w:val="hybridMultilevel"/>
    <w:tmpl w:val="864EE760"/>
    <w:lvl w:ilvl="0" w:tplc="E6C83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7D4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2D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C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F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C2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AD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D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22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812"/>
    <w:multiLevelType w:val="hybridMultilevel"/>
    <w:tmpl w:val="788A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2334"/>
    <w:multiLevelType w:val="hybridMultilevel"/>
    <w:tmpl w:val="3046581C"/>
    <w:lvl w:ilvl="0" w:tplc="83502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1BC7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0B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E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08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EF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6F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01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0424B"/>
    <w:multiLevelType w:val="hybridMultilevel"/>
    <w:tmpl w:val="F8EAF3A8"/>
    <w:lvl w:ilvl="0" w:tplc="C2EA3A20">
      <w:start w:val="1"/>
      <w:numFmt w:val="decimal"/>
      <w:lvlText w:val="%1."/>
      <w:lvlJc w:val="left"/>
      <w:pPr>
        <w:ind w:left="720" w:hanging="360"/>
      </w:pPr>
    </w:lvl>
    <w:lvl w:ilvl="1" w:tplc="59DCC596" w:tentative="1">
      <w:start w:val="1"/>
      <w:numFmt w:val="lowerLetter"/>
      <w:lvlText w:val="%2."/>
      <w:lvlJc w:val="left"/>
      <w:pPr>
        <w:ind w:left="1440" w:hanging="360"/>
      </w:pPr>
    </w:lvl>
    <w:lvl w:ilvl="2" w:tplc="8CD072A4" w:tentative="1">
      <w:start w:val="1"/>
      <w:numFmt w:val="lowerRoman"/>
      <w:lvlText w:val="%3."/>
      <w:lvlJc w:val="right"/>
      <w:pPr>
        <w:ind w:left="2160" w:hanging="180"/>
      </w:pPr>
    </w:lvl>
    <w:lvl w:ilvl="3" w:tplc="A016FE24" w:tentative="1">
      <w:start w:val="1"/>
      <w:numFmt w:val="decimal"/>
      <w:lvlText w:val="%4."/>
      <w:lvlJc w:val="left"/>
      <w:pPr>
        <w:ind w:left="2880" w:hanging="360"/>
      </w:pPr>
    </w:lvl>
    <w:lvl w:ilvl="4" w:tplc="418CF5B4" w:tentative="1">
      <w:start w:val="1"/>
      <w:numFmt w:val="lowerLetter"/>
      <w:lvlText w:val="%5."/>
      <w:lvlJc w:val="left"/>
      <w:pPr>
        <w:ind w:left="3600" w:hanging="360"/>
      </w:pPr>
    </w:lvl>
    <w:lvl w:ilvl="5" w:tplc="C56EBFA8" w:tentative="1">
      <w:start w:val="1"/>
      <w:numFmt w:val="lowerRoman"/>
      <w:lvlText w:val="%6."/>
      <w:lvlJc w:val="right"/>
      <w:pPr>
        <w:ind w:left="4320" w:hanging="180"/>
      </w:pPr>
    </w:lvl>
    <w:lvl w:ilvl="6" w:tplc="3DE029B2" w:tentative="1">
      <w:start w:val="1"/>
      <w:numFmt w:val="decimal"/>
      <w:lvlText w:val="%7."/>
      <w:lvlJc w:val="left"/>
      <w:pPr>
        <w:ind w:left="5040" w:hanging="360"/>
      </w:pPr>
    </w:lvl>
    <w:lvl w:ilvl="7" w:tplc="F75C0F1A" w:tentative="1">
      <w:start w:val="1"/>
      <w:numFmt w:val="lowerLetter"/>
      <w:lvlText w:val="%8."/>
      <w:lvlJc w:val="left"/>
      <w:pPr>
        <w:ind w:left="5760" w:hanging="360"/>
      </w:pPr>
    </w:lvl>
    <w:lvl w:ilvl="8" w:tplc="A73A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BD5"/>
    <w:multiLevelType w:val="hybridMultilevel"/>
    <w:tmpl w:val="213A1046"/>
    <w:lvl w:ilvl="0" w:tplc="14C292D4">
      <w:start w:val="1"/>
      <w:numFmt w:val="decimal"/>
      <w:lvlText w:val="%1."/>
      <w:lvlJc w:val="left"/>
      <w:pPr>
        <w:ind w:left="720" w:hanging="360"/>
      </w:pPr>
    </w:lvl>
    <w:lvl w:ilvl="1" w:tplc="6C4AAF02" w:tentative="1">
      <w:start w:val="1"/>
      <w:numFmt w:val="lowerLetter"/>
      <w:lvlText w:val="%2."/>
      <w:lvlJc w:val="left"/>
      <w:pPr>
        <w:ind w:left="1440" w:hanging="360"/>
      </w:pPr>
    </w:lvl>
    <w:lvl w:ilvl="2" w:tplc="59FA216C" w:tentative="1">
      <w:start w:val="1"/>
      <w:numFmt w:val="lowerRoman"/>
      <w:lvlText w:val="%3."/>
      <w:lvlJc w:val="right"/>
      <w:pPr>
        <w:ind w:left="2160" w:hanging="180"/>
      </w:pPr>
    </w:lvl>
    <w:lvl w:ilvl="3" w:tplc="82B61016" w:tentative="1">
      <w:start w:val="1"/>
      <w:numFmt w:val="decimal"/>
      <w:lvlText w:val="%4."/>
      <w:lvlJc w:val="left"/>
      <w:pPr>
        <w:ind w:left="2880" w:hanging="360"/>
      </w:pPr>
    </w:lvl>
    <w:lvl w:ilvl="4" w:tplc="60CCC780" w:tentative="1">
      <w:start w:val="1"/>
      <w:numFmt w:val="lowerLetter"/>
      <w:lvlText w:val="%5."/>
      <w:lvlJc w:val="left"/>
      <w:pPr>
        <w:ind w:left="3600" w:hanging="360"/>
      </w:pPr>
    </w:lvl>
    <w:lvl w:ilvl="5" w:tplc="1FAA17BC" w:tentative="1">
      <w:start w:val="1"/>
      <w:numFmt w:val="lowerRoman"/>
      <w:lvlText w:val="%6."/>
      <w:lvlJc w:val="right"/>
      <w:pPr>
        <w:ind w:left="4320" w:hanging="180"/>
      </w:pPr>
    </w:lvl>
    <w:lvl w:ilvl="6" w:tplc="F5821DF0" w:tentative="1">
      <w:start w:val="1"/>
      <w:numFmt w:val="decimal"/>
      <w:lvlText w:val="%7."/>
      <w:lvlJc w:val="left"/>
      <w:pPr>
        <w:ind w:left="5040" w:hanging="360"/>
      </w:pPr>
    </w:lvl>
    <w:lvl w:ilvl="7" w:tplc="DA3E2176" w:tentative="1">
      <w:start w:val="1"/>
      <w:numFmt w:val="lowerLetter"/>
      <w:lvlText w:val="%8."/>
      <w:lvlJc w:val="left"/>
      <w:pPr>
        <w:ind w:left="5760" w:hanging="360"/>
      </w:pPr>
    </w:lvl>
    <w:lvl w:ilvl="8" w:tplc="3584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210"/>
    <w:multiLevelType w:val="hybridMultilevel"/>
    <w:tmpl w:val="650858BE"/>
    <w:lvl w:ilvl="0" w:tplc="5956C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419B"/>
    <w:multiLevelType w:val="hybridMultilevel"/>
    <w:tmpl w:val="5840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9"/>
    <w:rsid w:val="001A03BF"/>
    <w:rsid w:val="001A56C0"/>
    <w:rsid w:val="00385707"/>
    <w:rsid w:val="00687529"/>
    <w:rsid w:val="00734019"/>
    <w:rsid w:val="00823D38"/>
    <w:rsid w:val="00AA031D"/>
    <w:rsid w:val="00AC7499"/>
    <w:rsid w:val="00C278EB"/>
    <w:rsid w:val="00C63F3A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537B"/>
  <w15:docId w15:val="{6B5722EC-AE31-46F8-86EF-92F6251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int.gov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E801771D6749AF1A3F067789193A" ma:contentTypeVersion="0" ma:contentTypeDescription="Create a new document." ma:contentTypeScope="" ma:versionID="5ef58c67d8bd3610467bf053b163b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7ECB6-4029-4373-946D-23152E24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53920-97DE-400B-9A4F-86D484B62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B4F2C27-7A42-4F56-BF2C-AAD2F2FC7A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FB5D07-482A-4696-BBA3-38F8BF5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Tokić</dc:creator>
  <cp:lastModifiedBy>Nikolina Jakopić</cp:lastModifiedBy>
  <cp:revision>4</cp:revision>
  <cp:lastPrinted>2019-10-21T11:41:00Z</cp:lastPrinted>
  <dcterms:created xsi:type="dcterms:W3CDTF">2020-02-06T15:02:00Z</dcterms:created>
  <dcterms:modified xsi:type="dcterms:W3CDTF">2020-02-07T09:56:00Z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0x01010008D5E801771D6749AF1A3F067789193A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