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C7" w:rsidRDefault="00747CC7" w:rsidP="00747CC7">
      <w:pPr>
        <w:numPr>
          <w:ilvl w:val="0"/>
          <w:numId w:val="1"/>
        </w:numPr>
        <w:spacing w:after="160" w:line="256" w:lineRule="auto"/>
        <w:rPr>
          <w:rFonts w:eastAsiaTheme="minorHAnsi"/>
          <w:b/>
        </w:rPr>
      </w:pPr>
      <w:r>
        <w:rPr>
          <w:rFonts w:eastAsiaTheme="minorHAnsi"/>
          <w:b/>
        </w:rPr>
        <w:t>PRIHODI I PRIMICI</w:t>
      </w:r>
    </w:p>
    <w:p w:rsidR="00747CC7" w:rsidRDefault="00747CC7" w:rsidP="00747CC7">
      <w:pPr>
        <w:spacing w:after="160" w:line="256" w:lineRule="auto"/>
        <w:rPr>
          <w:rFonts w:eastAsiaTheme="minorHAnsi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01"/>
        <w:gridCol w:w="999"/>
        <w:gridCol w:w="717"/>
        <w:gridCol w:w="2258"/>
        <w:gridCol w:w="1499"/>
        <w:gridCol w:w="1372"/>
        <w:gridCol w:w="1316"/>
      </w:tblGrid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Izvor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prihoda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za 2023.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za 2024.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za 2025.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 w:rsidP="0061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 w:rsidP="0061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 w:rsidP="0061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 w:rsidP="0061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 w:rsidP="0061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 w:rsidP="0061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 w:rsidP="00616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UKUPNI PRIHODI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Pr="00236125" w:rsidRDefault="00236125">
            <w:pPr>
              <w:jc w:val="right"/>
              <w:rPr>
                <w:b/>
                <w:sz w:val="22"/>
                <w:szCs w:val="22"/>
              </w:rPr>
            </w:pPr>
            <w:r w:rsidRPr="00236125">
              <w:rPr>
                <w:b/>
                <w:sz w:val="22"/>
                <w:szCs w:val="22"/>
              </w:rPr>
              <w:t>167.267.120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Pr="00236125" w:rsidRDefault="00236125">
            <w:pPr>
              <w:jc w:val="right"/>
              <w:rPr>
                <w:b/>
                <w:sz w:val="22"/>
                <w:szCs w:val="22"/>
              </w:rPr>
            </w:pPr>
            <w:r w:rsidRPr="00236125">
              <w:rPr>
                <w:b/>
                <w:sz w:val="22"/>
                <w:szCs w:val="22"/>
              </w:rPr>
              <w:t>215.353.558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Pr="00236125" w:rsidRDefault="00236125">
            <w:pPr>
              <w:jc w:val="right"/>
              <w:rPr>
                <w:b/>
                <w:sz w:val="22"/>
                <w:szCs w:val="22"/>
              </w:rPr>
            </w:pPr>
            <w:r w:rsidRPr="00236125">
              <w:rPr>
                <w:b/>
                <w:sz w:val="22"/>
                <w:szCs w:val="22"/>
              </w:rPr>
              <w:t>230.278.631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Prihodi poslovanja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167.267.120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215.353.558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230.278.631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CC7" w:rsidRDefault="00747CC7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CC7" w:rsidRDefault="00747CC7">
            <w:pPr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Prihodi od poreza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noProof/>
                <w:sz w:val="22"/>
                <w:szCs w:val="22"/>
                <w:lang w:eastAsia="hr-HR"/>
              </w:rPr>
            </w:pPr>
            <w:r>
              <w:rPr>
                <w:b/>
                <w:noProof/>
                <w:sz w:val="22"/>
                <w:szCs w:val="22"/>
                <w:lang w:eastAsia="hr-HR"/>
              </w:rPr>
              <w:t>33.831.834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35.419.784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36.979.922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CC7" w:rsidRDefault="00747CC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CC7" w:rsidRDefault="00747CC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igara na sreću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33.831.834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35.419.784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36.979.922</w:t>
            </w:r>
          </w:p>
        </w:tc>
      </w:tr>
      <w:tr w:rsidR="00747CC7" w:rsidTr="00236125">
        <w:trPr>
          <w:trHeight w:val="9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Pomoći iz inozemstva (darovnice) i od subjekata unutar općeg proračuna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69.730.301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109.859.807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126.142.616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 EU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13.272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Ostale pomoći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1.725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Refundacije iz pomoći EU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299.647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159.666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159.666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Fondovi EU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20.714.455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1.730.834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5.713.754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Instrumenti EU nove generacije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48.701.202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107.954.310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120.254.199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Prihodi od imovine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1.179.068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1.228.180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1.276.432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CC7" w:rsidRDefault="00747CC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CC7" w:rsidRDefault="00747CC7">
            <w:pPr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Prihodi od igara na sreću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1.046.345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1.095.457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1.143.709</w:t>
            </w:r>
          </w:p>
        </w:tc>
      </w:tr>
      <w:tr w:rsidR="00747CC7" w:rsidTr="00236125">
        <w:trPr>
          <w:trHeight w:val="6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prihodi za posebne namjene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132.723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132.723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132.723</w:t>
            </w:r>
          </w:p>
        </w:tc>
      </w:tr>
      <w:tr w:rsidR="00747CC7" w:rsidTr="00236125">
        <w:trPr>
          <w:trHeight w:val="12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2.617.957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2.617.957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2.617.957</w:t>
            </w:r>
          </w:p>
        </w:tc>
      </w:tr>
      <w:tr w:rsidR="00747CC7" w:rsidTr="00236125">
        <w:trPr>
          <w:trHeight w:val="6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prihodi za posebne namjene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2.617.957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2.617.957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2.617.957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Prihodi iz proračuna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59.907.960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66.227.830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63.261.704</w:t>
            </w:r>
          </w:p>
        </w:tc>
      </w:tr>
      <w:tr w:rsidR="00747CC7" w:rsidTr="00236125">
        <w:trPr>
          <w:trHeight w:val="3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 prihodi i primici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56.181.125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65.876.786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62.207.792</w:t>
            </w:r>
          </w:p>
        </w:tc>
      </w:tr>
      <w:tr w:rsidR="00747CC7" w:rsidTr="00236125">
        <w:trPr>
          <w:trHeight w:val="31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Sredstva učešća za pomoći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236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3.726.835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351.044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1.053.912</w:t>
            </w:r>
          </w:p>
        </w:tc>
      </w:tr>
    </w:tbl>
    <w:p w:rsidR="00747CC7" w:rsidRDefault="00747CC7" w:rsidP="00747CC7">
      <w:pPr>
        <w:spacing w:after="160" w:line="256" w:lineRule="auto"/>
        <w:rPr>
          <w:rFonts w:eastAsiaTheme="minorHAnsi"/>
        </w:rPr>
      </w:pP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Ukupno planirani prihodi u 2023. godini iznose </w:t>
      </w:r>
      <w:r w:rsidR="005D6B56">
        <w:rPr>
          <w:rFonts w:eastAsiaTheme="minorHAnsi"/>
        </w:rPr>
        <w:t>167.267.120</w:t>
      </w:r>
      <w:r>
        <w:rPr>
          <w:rFonts w:eastAsiaTheme="minorHAnsi"/>
        </w:rPr>
        <w:t xml:space="preserve"> EUR-a, a odnose se na prihode iz nadležnog proračuna za financiranje redovne djelatnosti koji se ostvaruju se iz izvora 11- Opći prihodi i primici u iznosu od  </w:t>
      </w:r>
      <w:r w:rsidR="00111020">
        <w:rPr>
          <w:rFonts w:eastAsiaTheme="minorHAnsi"/>
        </w:rPr>
        <w:t>56.181.125</w:t>
      </w:r>
      <w:r>
        <w:rPr>
          <w:rFonts w:eastAsiaTheme="minorHAnsi"/>
        </w:rPr>
        <w:t xml:space="preserve"> EUR-a, što čini </w:t>
      </w:r>
      <w:r w:rsidR="00111020">
        <w:rPr>
          <w:rFonts w:eastAsiaTheme="minorHAnsi"/>
        </w:rPr>
        <w:t>33,5</w:t>
      </w:r>
      <w:r>
        <w:rPr>
          <w:rFonts w:eastAsiaTheme="minorHAnsi"/>
        </w:rPr>
        <w:t xml:space="preserve">% od ukupnog proračuna ministarstva. Zatim, prihodi od pomoći iz inozemstva (darovnice) i od subjekata unutar općeg proračuna iznose </w:t>
      </w:r>
      <w:r w:rsidR="00111020">
        <w:rPr>
          <w:rFonts w:eastAsiaTheme="minorHAnsi"/>
        </w:rPr>
        <w:t>69.730.301</w:t>
      </w:r>
      <w:r>
        <w:rPr>
          <w:rFonts w:eastAsiaTheme="minorHAnsi"/>
        </w:rPr>
        <w:t xml:space="preserve"> EUR-a, što čini </w:t>
      </w:r>
      <w:r w:rsidR="00111020">
        <w:rPr>
          <w:rFonts w:eastAsiaTheme="minorHAnsi"/>
        </w:rPr>
        <w:t>41,6</w:t>
      </w:r>
      <w:r>
        <w:rPr>
          <w:rFonts w:eastAsiaTheme="minorHAnsi"/>
        </w:rPr>
        <w:t xml:space="preserve">% od ukupnog proračuna ministarstva. Navedeni prihodi planirani su unutar izvora 51 - Pomoći EU u iznosu od 13.272, EUR-a, 52- Ostale pomoći u iznosu od 1.725 EUR-a, 55 -Refundacije iz pomoći EU u iznosu od 299.647 EUR-a, 56 - Fondovi EU u iznosu od </w:t>
      </w:r>
      <w:r w:rsidR="00111020">
        <w:rPr>
          <w:rFonts w:eastAsiaTheme="minorHAnsi"/>
        </w:rPr>
        <w:t>20.714.455</w:t>
      </w:r>
      <w:r>
        <w:rPr>
          <w:rFonts w:eastAsiaTheme="minorHAnsi"/>
        </w:rPr>
        <w:t xml:space="preserve"> EUR-a te 58 - Instrumenti EU nove generacije u iznosu od </w:t>
      </w:r>
      <w:r w:rsidR="00111020">
        <w:rPr>
          <w:rFonts w:eastAsiaTheme="minorHAnsi"/>
        </w:rPr>
        <w:t>48.701.202 E</w:t>
      </w:r>
      <w:r>
        <w:rPr>
          <w:rFonts w:eastAsiaTheme="minorHAnsi"/>
        </w:rPr>
        <w:t>UR-a.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Najveći dio planiranih prihoda odnosi se na izvor 581 - Mehanizam za oporavak i otpornost u iznosu od </w:t>
      </w:r>
      <w:r w:rsidR="00111020">
        <w:rPr>
          <w:rFonts w:eastAsiaTheme="minorHAnsi"/>
        </w:rPr>
        <w:t>48.701.202</w:t>
      </w:r>
      <w:r>
        <w:rPr>
          <w:rFonts w:eastAsiaTheme="minorHAnsi"/>
        </w:rPr>
        <w:t xml:space="preserve"> EUR-a koji su planirani za provedbu Nacionalnog plana oporavka i otpornosti </w:t>
      </w:r>
      <w:proofErr w:type="spellStart"/>
      <w:r>
        <w:rPr>
          <w:rFonts w:eastAsiaTheme="minorHAnsi"/>
        </w:rPr>
        <w:t>Podkomponenta</w:t>
      </w:r>
      <w:proofErr w:type="spellEnd"/>
      <w:r>
        <w:rPr>
          <w:rFonts w:eastAsiaTheme="minorHAnsi"/>
        </w:rPr>
        <w:t xml:space="preserve"> 1.6 Razvoj održivog, inovativnog i otpornog turizma. Zatim, veliki udio planiranih prihoda odnosi se na  56 - Fondovi EU u iznosu od </w:t>
      </w:r>
      <w:r w:rsidR="00111020">
        <w:rPr>
          <w:rFonts w:eastAsiaTheme="minorHAnsi"/>
        </w:rPr>
        <w:t>20.714.455</w:t>
      </w:r>
      <w:r>
        <w:rPr>
          <w:rFonts w:eastAsiaTheme="minorHAnsi"/>
        </w:rPr>
        <w:t xml:space="preserve"> EUR-a,   unutar izvora 561- Europski socijalni fond (ESF) i 563 Europski fond za regionalni razvoj (EFRR) za projekte: Poboljšanje pristupa ranjivih skupina tržištu rada u sektoru turizma i ugostiteljstva II, Uspostava regionalnih centara kompetencija za strukovno obrazovanje u turizmu i ugostiteljstvu, Tehničku pomoć, Hrvatski digitalni turizam – e-Turizam te projekt Podrška upravljanju strategijom EU za Jadransku i Jonsku regiju (EUSAIR).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>U projekcijama za  2024. godinu iskazana su povećanja planiranih prihoda u iznosu od 109.859.807 EUR-a unutar izvora 58 - Instrumenti EU nove generacije a što čini 5</w:t>
      </w:r>
      <w:r w:rsidR="000E0900">
        <w:rPr>
          <w:rFonts w:eastAsiaTheme="minorHAnsi"/>
        </w:rPr>
        <w:t>4,5</w:t>
      </w:r>
      <w:r>
        <w:rPr>
          <w:rFonts w:eastAsiaTheme="minorHAnsi"/>
        </w:rPr>
        <w:t xml:space="preserve"> % od ukupno planiranih prihoda. Povećanja se odnose na  izvor 581 - Mehanizam za oporavak i otpornost u iznosima 107.954.310 EUR-a u 2023. godini za provedbu: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1. Reforme R1 Povećanje otpornosti i održivosti turističkog gospodarstva, 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>2. Investicije C1.6. R1-I1 Regionalna diversifikacija i specijalizacija hrvatskog turizma kroz ulaganja u razvoj turističkih proizvoda visoke dodane vrijednosti,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>3. Investicije C1.6. R1-I2 Jačanje održivosti te poticanje zelene i digitalne tranzicije poduzetnika u  sektoru turizma,</w:t>
      </w:r>
    </w:p>
    <w:p w:rsidR="00747CC7" w:rsidRDefault="00747CC7" w:rsidP="00747CC7">
      <w:pPr>
        <w:spacing w:after="160" w:line="256" w:lineRule="auto"/>
        <w:rPr>
          <w:rFonts w:eastAsiaTheme="minorHAnsi"/>
        </w:rPr>
      </w:pPr>
      <w:r>
        <w:rPr>
          <w:rFonts w:eastAsiaTheme="minorHAnsi"/>
        </w:rPr>
        <w:t xml:space="preserve">4. Investicije C1.6. R1-I3 Jačanje kapaciteta sustava za otporan i održiv turizam </w:t>
      </w:r>
    </w:p>
    <w:p w:rsidR="00747CC7" w:rsidRDefault="00747CC7" w:rsidP="00747CC7">
      <w:pPr>
        <w:jc w:val="both"/>
      </w:pPr>
    </w:p>
    <w:p w:rsidR="00747CC7" w:rsidRDefault="00747CC7" w:rsidP="00747CC7">
      <w:pPr>
        <w:jc w:val="both"/>
      </w:pPr>
      <w:r>
        <w:t xml:space="preserve">Nadležnog tijela državne uprave i ujedno korisnika u okviru </w:t>
      </w:r>
      <w:proofErr w:type="spellStart"/>
      <w:r>
        <w:t>podkomponente</w:t>
      </w:r>
      <w:proofErr w:type="spellEnd"/>
      <w:r>
        <w:t>:</w:t>
      </w:r>
    </w:p>
    <w:p w:rsidR="00747CC7" w:rsidRDefault="00747CC7" w:rsidP="00747CC7">
      <w:pPr>
        <w:jc w:val="both"/>
      </w:pPr>
    </w:p>
    <w:p w:rsidR="00747CC7" w:rsidRDefault="00747CC7" w:rsidP="00747CC7">
      <w:pPr>
        <w:numPr>
          <w:ilvl w:val="0"/>
          <w:numId w:val="2"/>
        </w:numPr>
        <w:spacing w:after="160" w:line="256" w:lineRule="auto"/>
        <w:contextualSpacing/>
        <w:jc w:val="both"/>
      </w:pPr>
      <w:r>
        <w:t>C1.6. Razvoj održivog, inovativnog i otpornog turizma za:</w:t>
      </w:r>
    </w:p>
    <w:p w:rsidR="00747CC7" w:rsidRDefault="00747CC7" w:rsidP="00747CC7">
      <w:pPr>
        <w:ind w:left="993"/>
        <w:contextualSpacing/>
      </w:pPr>
      <w:r>
        <w:t>Reformu R1 Povećanje otpornosti i održivosti turističkog sektora i to za aktivnosti:</w:t>
      </w:r>
    </w:p>
    <w:p w:rsidR="00747CC7" w:rsidRDefault="00747CC7" w:rsidP="00747CC7">
      <w:pPr>
        <w:ind w:left="993"/>
        <w:contextualSpacing/>
      </w:pPr>
    </w:p>
    <w:p w:rsidR="00747CC7" w:rsidRDefault="00747CC7" w:rsidP="00747CC7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Izrade Strategije razvoja održivog turizma do 2030</w:t>
      </w:r>
    </w:p>
    <w:p w:rsidR="00747CC7" w:rsidRDefault="00747CC7" w:rsidP="00747CC7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 xml:space="preserve">Uspostave Satelitskog računa održivog turizma </w:t>
      </w:r>
    </w:p>
    <w:p w:rsidR="00747CC7" w:rsidRDefault="00747CC7" w:rsidP="00747CC7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Donošenja Zakona o turizmu,</w:t>
      </w:r>
    </w:p>
    <w:p w:rsidR="00747CC7" w:rsidRDefault="00747CC7" w:rsidP="00747CC7">
      <w:pPr>
        <w:spacing w:after="160" w:line="256" w:lineRule="auto"/>
        <w:ind w:left="993"/>
        <w:contextualSpacing/>
        <w:jc w:val="both"/>
      </w:pPr>
    </w:p>
    <w:p w:rsidR="00747CC7" w:rsidRDefault="00747CC7" w:rsidP="00747CC7">
      <w:pPr>
        <w:numPr>
          <w:ilvl w:val="0"/>
          <w:numId w:val="2"/>
        </w:numPr>
        <w:spacing w:after="160" w:line="256" w:lineRule="auto"/>
        <w:contextualSpacing/>
        <w:jc w:val="both"/>
        <w:rPr>
          <w:lang w:eastAsia="hr-HR"/>
        </w:rPr>
      </w:pPr>
      <w:r>
        <w:rPr>
          <w:lang w:eastAsia="hr-HR"/>
        </w:rPr>
        <w:t>C1.6.R1-I3 Jačanje kapaciteta sustava za otporan i održiv turizam i to za aktivnosti:</w:t>
      </w:r>
    </w:p>
    <w:p w:rsidR="00747CC7" w:rsidRDefault="00747CC7" w:rsidP="00747CC7">
      <w:pPr>
        <w:numPr>
          <w:ilvl w:val="0"/>
          <w:numId w:val="3"/>
        </w:numPr>
        <w:spacing w:after="160" w:line="256" w:lineRule="auto"/>
        <w:contextualSpacing/>
        <w:jc w:val="both"/>
        <w:rPr>
          <w:lang w:eastAsia="hr-HR"/>
        </w:rPr>
      </w:pPr>
      <w:r>
        <w:rPr>
          <w:lang w:eastAsia="hr-HR"/>
        </w:rPr>
        <w:t>izrade obrazovnih programa i e-</w:t>
      </w:r>
      <w:proofErr w:type="spellStart"/>
      <w:r>
        <w:rPr>
          <w:lang w:eastAsia="hr-HR"/>
        </w:rPr>
        <w:t>learning</w:t>
      </w:r>
      <w:proofErr w:type="spellEnd"/>
      <w:r>
        <w:rPr>
          <w:lang w:eastAsia="hr-HR"/>
        </w:rPr>
        <w:t xml:space="preserve"> materijala za najmanje 10 područja</w:t>
      </w:r>
    </w:p>
    <w:p w:rsidR="00747CC7" w:rsidRDefault="00747CC7" w:rsidP="00747CC7">
      <w:pPr>
        <w:numPr>
          <w:ilvl w:val="0"/>
          <w:numId w:val="3"/>
        </w:numPr>
        <w:spacing w:after="160" w:line="256" w:lineRule="auto"/>
        <w:contextualSpacing/>
        <w:jc w:val="both"/>
        <w:rPr>
          <w:lang w:eastAsia="hr-HR"/>
        </w:rPr>
      </w:pPr>
      <w:r>
        <w:rPr>
          <w:lang w:eastAsia="hr-HR"/>
        </w:rPr>
        <w:t>edukacije nezaposlenih osoba za specifične poslove u turizmu</w:t>
      </w:r>
    </w:p>
    <w:p w:rsidR="00747CC7" w:rsidRDefault="00747CC7" w:rsidP="00747CC7">
      <w:pPr>
        <w:numPr>
          <w:ilvl w:val="0"/>
          <w:numId w:val="3"/>
        </w:numPr>
        <w:spacing w:after="160" w:line="256" w:lineRule="auto"/>
        <w:contextualSpacing/>
        <w:jc w:val="both"/>
        <w:rPr>
          <w:lang w:eastAsia="hr-HR"/>
        </w:rPr>
      </w:pPr>
      <w:r>
        <w:rPr>
          <w:lang w:eastAsia="hr-HR"/>
        </w:rPr>
        <w:t>obrazovanja djelatnika u sustavu državne uprave i turističkih zajednica na svim razinama u cilju boljeg upravljanja održivim turizmom kao i podizanja kvalitete upravljanja destinacijom,</w:t>
      </w:r>
    </w:p>
    <w:p w:rsidR="00747CC7" w:rsidRDefault="00747CC7" w:rsidP="00747CC7">
      <w:pPr>
        <w:spacing w:after="160" w:line="256" w:lineRule="auto"/>
        <w:rPr>
          <w:rFonts w:eastAsiaTheme="minorHAnsi"/>
        </w:rPr>
      </w:pP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Za </w:t>
      </w:r>
      <w:proofErr w:type="spellStart"/>
      <w:r>
        <w:rPr>
          <w:rFonts w:eastAsiaTheme="minorHAnsi"/>
        </w:rPr>
        <w:t>podkomponentu</w:t>
      </w:r>
      <w:proofErr w:type="spellEnd"/>
      <w:r>
        <w:rPr>
          <w:rFonts w:eastAsiaTheme="minorHAnsi"/>
        </w:rPr>
        <w:t xml:space="preserve"> 2.3. Digitalna transformacija društva i javne uprave, kao provedbeno tijelo i to za investicije:</w:t>
      </w:r>
    </w:p>
    <w:p w:rsidR="00747CC7" w:rsidRDefault="00747CC7" w:rsidP="00747CC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C2.3. R3-I15 Uspostava aplikativnih rješenja u turizmu s ciljem administrativnog rasterećenja poduzetnika te transformacije modela turizma ka održivosti,</w:t>
      </w:r>
    </w:p>
    <w:p w:rsidR="00747CC7" w:rsidRDefault="00747CC7" w:rsidP="00747CC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C2.3. R3-I16 Digitalizacija procesa u sportu i rekreaciji na lokalnoj i regionalnoj razini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>U projekcijama za  2025. godinu iskazana su povećanja planiranih prihoda unutar izvora 58 - Instrumenti EU nove generacije u iznosu od 126.142.616 EUR-a, što čini 58,</w:t>
      </w:r>
      <w:r w:rsidR="000E0900">
        <w:rPr>
          <w:rFonts w:eastAsiaTheme="minorHAnsi"/>
        </w:rPr>
        <w:t>1</w:t>
      </w:r>
      <w:r>
        <w:rPr>
          <w:rFonts w:eastAsiaTheme="minorHAnsi"/>
        </w:rPr>
        <w:t xml:space="preserve"> % od ukupno planiranih prihoda, a odnosi se na  izvor 581 - Mehanizam za oporavak i otpornost u iznosima  120.254.199 EUR-a u 2025. godini za provedbu prethodno navedenih reformi.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Prihodi za posebne namjene iznose  37.628.859 EUR-a, što ukupno čini </w:t>
      </w:r>
      <w:r w:rsidR="000E0900">
        <w:rPr>
          <w:rFonts w:eastAsiaTheme="minorHAnsi"/>
        </w:rPr>
        <w:t>22,4</w:t>
      </w:r>
      <w:r>
        <w:rPr>
          <w:rFonts w:eastAsiaTheme="minorHAnsi"/>
        </w:rPr>
        <w:t xml:space="preserve"> % od ukupnog proračuna ministarstva, odnose se na prihode ostvarene iz izvora 43 – Ostali prihodi za posebne namjene Fond za turizam, ostvarenih iz naknada za korištenje turističkog zemljišta u vlasništvu Republike Hrvatske  koriste se za ulaganja u razvoj turističke infrastrukture s ciljem razvoja turističke infrastrukture i očuvanja turističke resursne osnove. Zatim, izvor 41 - prihodi od igara na sreću planirani u iznosu 34.878.179 EUR-a, što čini </w:t>
      </w:r>
      <w:r w:rsidR="000E0900">
        <w:rPr>
          <w:rFonts w:eastAsiaTheme="minorHAnsi"/>
        </w:rPr>
        <w:t>20,8</w:t>
      </w:r>
      <w:r>
        <w:rPr>
          <w:rFonts w:eastAsiaTheme="minorHAnsi"/>
        </w:rPr>
        <w:t xml:space="preserve">% od ukupnog proračuna ministarstva, odnosi na provedbu sufinanciranja dijela programa javnih potreba u sportu državne razine koji se provode putem Hrvatskog olimpijskog odbora (HOO), Hrvatskog </w:t>
      </w:r>
      <w:proofErr w:type="spellStart"/>
      <w:r>
        <w:rPr>
          <w:rFonts w:eastAsiaTheme="minorHAnsi"/>
        </w:rPr>
        <w:t>paraolimpijskog</w:t>
      </w:r>
      <w:proofErr w:type="spellEnd"/>
      <w:r>
        <w:rPr>
          <w:rFonts w:eastAsiaTheme="minorHAnsi"/>
        </w:rPr>
        <w:t xml:space="preserve"> odbora (HPO), Hrvatskog sportskog saveza gluhih (HSSG), Hrvatskog akademskog sportskog saveza (HASS) i Hrvatskog školskog sportskog saveza (HŠSS).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  <w:b/>
        </w:rPr>
      </w:pPr>
    </w:p>
    <w:p w:rsidR="00747CC7" w:rsidRDefault="00747CC7" w:rsidP="00747CC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RASHODI I IZDACI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  <w:b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1086"/>
        <w:gridCol w:w="2233"/>
        <w:gridCol w:w="1541"/>
        <w:gridCol w:w="1693"/>
        <w:gridCol w:w="1531"/>
      </w:tblGrid>
      <w:tr w:rsidR="00747CC7" w:rsidTr="00747CC7">
        <w:trPr>
          <w:trHeight w:val="51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rashoda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za 2023.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za 2024.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za 2025.</w:t>
            </w:r>
          </w:p>
        </w:tc>
      </w:tr>
      <w:tr w:rsidR="00747CC7" w:rsidTr="00747CC7">
        <w:trPr>
          <w:trHeight w:val="22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UKUPNI 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0E09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167.267.120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0E09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215.353.558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0E09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230.278.631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Rashodi poslovanja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165.621.912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214.322.007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226.227.466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za zaposlene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5.478.782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5.404.249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5.428.551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Materijalni 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7.954.930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4.926.312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5.100.710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Financijski 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41.277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41.277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41.277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Subvencije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34.735.541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58.042.150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69.908.222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Pomoći dane u inozemstvo i unutar općeg proračuna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49.499.584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78.132.114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79.816.061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9.155.220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9.658.902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6.081.360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Ostali rashodi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58.756.578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B6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58.117.003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59.851.285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Rashodi za nabavu nefinancijske imovine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1.645.208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1.031.551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4.051.165</w:t>
            </w:r>
          </w:p>
        </w:tc>
      </w:tr>
      <w:tr w:rsidR="00747CC7" w:rsidTr="00747CC7">
        <w:trPr>
          <w:trHeight w:val="25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Rashodi za nabavu </w:t>
            </w:r>
            <w:proofErr w:type="spellStart"/>
            <w:r>
              <w:rPr>
                <w:bCs/>
                <w:sz w:val="22"/>
                <w:szCs w:val="22"/>
              </w:rPr>
              <w:t>neproizvedene</w:t>
            </w:r>
            <w:proofErr w:type="spellEnd"/>
            <w:r>
              <w:rPr>
                <w:bCs/>
                <w:sz w:val="22"/>
                <w:szCs w:val="22"/>
              </w:rPr>
              <w:t xml:space="preserve"> dugotrajne imovine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113.611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144.668</w:t>
            </w:r>
          </w:p>
        </w:tc>
      </w:tr>
      <w:tr w:rsidR="00747CC7" w:rsidTr="00747CC7">
        <w:trPr>
          <w:trHeight w:val="2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1.531.597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1.017.482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CC7" w:rsidRDefault="00747C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3.906.497</w:t>
            </w:r>
          </w:p>
        </w:tc>
      </w:tr>
    </w:tbl>
    <w:p w:rsidR="00747CC7" w:rsidRDefault="00747CC7" w:rsidP="00747CC7">
      <w:pPr>
        <w:spacing w:after="160" w:line="256" w:lineRule="auto"/>
        <w:jc w:val="both"/>
        <w:rPr>
          <w:rFonts w:eastAsiaTheme="minorHAnsi"/>
          <w:b/>
          <w:sz w:val="22"/>
          <w:szCs w:val="22"/>
        </w:rPr>
      </w:pPr>
    </w:p>
    <w:p w:rsidR="00747CC7" w:rsidRDefault="00747CC7" w:rsidP="00747CC7">
      <w:pPr>
        <w:jc w:val="both"/>
      </w:pPr>
      <w:r>
        <w:rPr>
          <w:lang w:eastAsia="hr-HR"/>
        </w:rPr>
        <w:t xml:space="preserve">Planirani rashodi poslovanja u 2023. godini iznose </w:t>
      </w:r>
      <w:r>
        <w:t xml:space="preserve"> </w:t>
      </w:r>
      <w:r w:rsidR="00B643E3">
        <w:t>165.621.912</w:t>
      </w:r>
      <w:r>
        <w:t xml:space="preserve"> EUR-a. R</w:t>
      </w:r>
      <w:r w:rsidR="00B643E3">
        <w:t>ashodi za zaposlene čine oko 3,3</w:t>
      </w:r>
      <w:r>
        <w:t>% ukupnih rashoda. Trenutno poslove i aktivnosti iz djelokruga ministarstva obavlja  4 namještenika, 182 državnih službenika, 3 državnih dužnosnika te 1 državni dužnosnik koji koristi pravo iz članka 15. Zakona o obvezama i pravima državnih dužnosnika.</w:t>
      </w:r>
    </w:p>
    <w:p w:rsidR="00747CC7" w:rsidRDefault="00747CC7" w:rsidP="00747CC7">
      <w:pPr>
        <w:jc w:val="both"/>
      </w:pPr>
      <w:bookmarkStart w:id="0" w:name="_GoBack"/>
      <w:bookmarkEnd w:id="0"/>
    </w:p>
    <w:p w:rsidR="00747CC7" w:rsidRDefault="00747CC7" w:rsidP="00747CC7">
      <w:pPr>
        <w:jc w:val="both"/>
        <w:rPr>
          <w:rFonts w:eastAsiaTheme="minorHAnsi"/>
        </w:rPr>
      </w:pPr>
      <w:r>
        <w:rPr>
          <w:rFonts w:eastAsiaTheme="minorHAnsi"/>
        </w:rPr>
        <w:t xml:space="preserve">Najveći dio rashoda u iznosu od </w:t>
      </w:r>
      <w:r w:rsidR="00B643E3">
        <w:rPr>
          <w:rFonts w:eastAsiaTheme="minorHAnsi"/>
        </w:rPr>
        <w:t>49.499.584</w:t>
      </w:r>
      <w:r>
        <w:rPr>
          <w:rFonts w:eastAsiaTheme="minorHAnsi"/>
        </w:rPr>
        <w:t xml:space="preserve"> EUR-a, što ukupno čini </w:t>
      </w:r>
      <w:r w:rsidR="00B643E3">
        <w:rPr>
          <w:rFonts w:eastAsiaTheme="minorHAnsi"/>
        </w:rPr>
        <w:t>29,8</w:t>
      </w:r>
      <w:r>
        <w:rPr>
          <w:rFonts w:eastAsiaTheme="minorHAnsi"/>
        </w:rPr>
        <w:t xml:space="preserve">% od ukupnog proračuna ministarstva odnosi se na grupu konta 36 - Pomoći dane u inozemstvo i unutar općeg proračuna, na kojima se evidentiraju na plaćanja prema korisnicima vezana za EU projekte koje provodi ministarstvo. </w:t>
      </w:r>
    </w:p>
    <w:p w:rsidR="00747CC7" w:rsidRDefault="00747CC7" w:rsidP="00747CC7">
      <w:pPr>
        <w:jc w:val="both"/>
        <w:rPr>
          <w:rFonts w:eastAsiaTheme="minorHAnsi"/>
        </w:rPr>
      </w:pPr>
    </w:p>
    <w:p w:rsidR="00747CC7" w:rsidRDefault="00747CC7" w:rsidP="00747CC7">
      <w:pPr>
        <w:jc w:val="both"/>
        <w:rPr>
          <w:rFonts w:eastAsiaTheme="minorHAnsi"/>
          <w:b/>
        </w:rPr>
      </w:pPr>
      <w:r>
        <w:rPr>
          <w:rFonts w:eastAsiaTheme="minorHAnsi"/>
        </w:rPr>
        <w:t>Zatim, rashodi unutar skupine k</w:t>
      </w:r>
      <w:r w:rsidR="00B643E3">
        <w:rPr>
          <w:rFonts w:eastAsiaTheme="minorHAnsi"/>
        </w:rPr>
        <w:t>onta 38 - Ostali rashodi čine 35,4</w:t>
      </w:r>
      <w:r>
        <w:rPr>
          <w:rFonts w:eastAsiaTheme="minorHAnsi"/>
        </w:rPr>
        <w:t>% ukupnog proračuna a odnose se na ugovorne obveze prema neprofitnim organizacijama.</w:t>
      </w:r>
    </w:p>
    <w:p w:rsidR="00747CC7" w:rsidRDefault="00747CC7" w:rsidP="00747CC7">
      <w:pPr>
        <w:jc w:val="both"/>
        <w:rPr>
          <w:rFonts w:eastAsiaTheme="minorHAnsi"/>
          <w:b/>
        </w:rPr>
      </w:pPr>
    </w:p>
    <w:p w:rsidR="00747CC7" w:rsidRDefault="00747CC7" w:rsidP="00747CC7">
      <w:pPr>
        <w:jc w:val="both"/>
        <w:rPr>
          <w:rFonts w:eastAsiaTheme="minorHAnsi"/>
          <w:b/>
        </w:rPr>
      </w:pPr>
    </w:p>
    <w:p w:rsidR="00747CC7" w:rsidRDefault="00747CC7" w:rsidP="00747CC7">
      <w:pPr>
        <w:jc w:val="both"/>
        <w:rPr>
          <w:rFonts w:eastAsiaTheme="minorHAnsi"/>
          <w:b/>
        </w:rPr>
      </w:pPr>
    </w:p>
    <w:p w:rsidR="00747CC7" w:rsidRDefault="00747CC7" w:rsidP="00747CC7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UKUPNE I DOSPJELE OBVEZE</w:t>
      </w:r>
    </w:p>
    <w:p w:rsidR="00747CC7" w:rsidRDefault="00747CC7" w:rsidP="00747CC7">
      <w:pPr>
        <w:jc w:val="both"/>
        <w:rPr>
          <w:b/>
          <w:bCs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747CC7" w:rsidTr="00747C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C7" w:rsidRDefault="00747CC7">
            <w:pPr>
              <w:jc w:val="both"/>
              <w:rPr>
                <w:b/>
                <w:bCs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lang w:eastAsia="hr-HR"/>
              </w:rPr>
            </w:pPr>
            <w:r>
              <w:rPr>
                <w:lang w:eastAsia="hr-HR"/>
              </w:rPr>
              <w:t>Stanje obveza na dan 31.12.2021.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rPr>
                <w:b/>
                <w:bCs/>
                <w:lang w:eastAsia="hr-HR"/>
              </w:rPr>
            </w:pPr>
            <w:r>
              <w:rPr>
                <w:lang w:eastAsia="hr-HR"/>
              </w:rPr>
              <w:t>Stanje obveza na dan 30.06.2022.</w:t>
            </w:r>
          </w:p>
        </w:tc>
      </w:tr>
      <w:tr w:rsidR="00747CC7" w:rsidTr="00747C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>Ukupne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39.521.389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001C16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36.55</w:t>
            </w:r>
            <w:r w:rsidR="00747CC7">
              <w:rPr>
                <w:lang w:eastAsia="hr-HR"/>
              </w:rPr>
              <w:t>7.549</w:t>
            </w:r>
          </w:p>
        </w:tc>
      </w:tr>
      <w:tr w:rsidR="00747CC7" w:rsidTr="00747C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Dospjele obveze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D81004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2.007.664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C7" w:rsidRDefault="00747CC7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1.472.123</w:t>
            </w:r>
          </w:p>
        </w:tc>
      </w:tr>
    </w:tbl>
    <w:p w:rsidR="00747CC7" w:rsidRDefault="00747CC7" w:rsidP="00747CC7">
      <w:pPr>
        <w:ind w:firstLine="708"/>
        <w:jc w:val="both"/>
        <w:rPr>
          <w:b/>
          <w:bCs/>
          <w:lang w:eastAsia="hr-HR"/>
        </w:rPr>
      </w:pPr>
    </w:p>
    <w:p w:rsidR="00747CC7" w:rsidRDefault="00747CC7" w:rsidP="00747CC7">
      <w:pPr>
        <w:jc w:val="both"/>
        <w:rPr>
          <w:bCs/>
          <w:lang w:eastAsia="hr-HR"/>
        </w:rPr>
      </w:pPr>
      <w:r>
        <w:rPr>
          <w:bCs/>
          <w:lang w:eastAsia="hr-HR"/>
        </w:rPr>
        <w:t xml:space="preserve"> </w:t>
      </w:r>
    </w:p>
    <w:p w:rsidR="00747CC7" w:rsidRDefault="00001C16" w:rsidP="00747CC7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>y</w:t>
      </w:r>
    </w:p>
    <w:p w:rsidR="00747CC7" w:rsidRDefault="00747CC7" w:rsidP="00747CC7">
      <w:pPr>
        <w:spacing w:after="160" w:line="256" w:lineRule="auto"/>
        <w:jc w:val="both"/>
        <w:rPr>
          <w:rFonts w:eastAsiaTheme="minorHAnsi"/>
        </w:rPr>
      </w:pPr>
    </w:p>
    <w:p w:rsidR="00747CC7" w:rsidRDefault="00747CC7" w:rsidP="00747CC7">
      <w:pPr>
        <w:spacing w:after="160" w:line="256" w:lineRule="auto"/>
        <w:rPr>
          <w:rFonts w:eastAsiaTheme="minorHAnsi"/>
        </w:rPr>
      </w:pPr>
    </w:p>
    <w:p w:rsidR="00747CC7" w:rsidRDefault="00747CC7" w:rsidP="00747CC7">
      <w:pPr>
        <w:spacing w:after="160" w:line="256" w:lineRule="auto"/>
        <w:rPr>
          <w:rFonts w:eastAsiaTheme="minorHAnsi"/>
        </w:rPr>
      </w:pPr>
    </w:p>
    <w:p w:rsidR="00747CC7" w:rsidRDefault="00747CC7" w:rsidP="00747CC7">
      <w:pPr>
        <w:spacing w:after="160" w:line="256" w:lineRule="auto"/>
        <w:rPr>
          <w:rFonts w:eastAsiaTheme="minorHAnsi"/>
        </w:rPr>
      </w:pPr>
    </w:p>
    <w:p w:rsidR="00747CC7" w:rsidRDefault="00747CC7" w:rsidP="00747CC7">
      <w:pPr>
        <w:spacing w:after="160" w:line="256" w:lineRule="auto"/>
        <w:rPr>
          <w:rFonts w:eastAsiaTheme="minorHAnsi"/>
        </w:rPr>
      </w:pPr>
    </w:p>
    <w:p w:rsidR="00747CC7" w:rsidRDefault="00747CC7" w:rsidP="00747CC7">
      <w:pPr>
        <w:spacing w:after="160" w:line="256" w:lineRule="auto"/>
        <w:rPr>
          <w:rFonts w:eastAsiaTheme="minorHAnsi"/>
        </w:rPr>
      </w:pPr>
    </w:p>
    <w:p w:rsidR="00747CC7" w:rsidRDefault="00747CC7" w:rsidP="00747CC7">
      <w:pPr>
        <w:spacing w:after="160" w:line="256" w:lineRule="auto"/>
        <w:rPr>
          <w:rFonts w:eastAsiaTheme="minorHAnsi"/>
        </w:rPr>
      </w:pPr>
    </w:p>
    <w:p w:rsidR="00747CC7" w:rsidRDefault="00747CC7" w:rsidP="00747CC7">
      <w:pPr>
        <w:rPr>
          <w:b/>
        </w:rPr>
      </w:pPr>
    </w:p>
    <w:p w:rsidR="00524FAE" w:rsidRDefault="00524FAE"/>
    <w:sectPr w:rsidR="0052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BF3"/>
    <w:multiLevelType w:val="hybridMultilevel"/>
    <w:tmpl w:val="6AF0D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405C"/>
    <w:multiLevelType w:val="hybridMultilevel"/>
    <w:tmpl w:val="2EFCB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0231"/>
    <w:multiLevelType w:val="hybridMultilevel"/>
    <w:tmpl w:val="6742A56E"/>
    <w:lvl w:ilvl="0" w:tplc="041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9864C4A">
      <w:numFmt w:val="bullet"/>
      <w:lvlText w:val="•"/>
      <w:lvlJc w:val="left"/>
      <w:pPr>
        <w:ind w:left="2403" w:hanging="69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2A93DC3"/>
    <w:multiLevelType w:val="hybridMultilevel"/>
    <w:tmpl w:val="4CD280A6"/>
    <w:lvl w:ilvl="0" w:tplc="47B42D9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C7"/>
    <w:rsid w:val="00001C16"/>
    <w:rsid w:val="000E0900"/>
    <w:rsid w:val="00111020"/>
    <w:rsid w:val="00236125"/>
    <w:rsid w:val="00524FAE"/>
    <w:rsid w:val="005D6B56"/>
    <w:rsid w:val="00616FD0"/>
    <w:rsid w:val="00747CC7"/>
    <w:rsid w:val="00B643E3"/>
    <w:rsid w:val="00C25E36"/>
    <w:rsid w:val="00D81004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5BF4"/>
  <w15:chartTrackingRefBased/>
  <w15:docId w15:val="{5DFC3B7A-7387-44A8-889B-55C0239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Koren</dc:creator>
  <cp:keywords/>
  <dc:description/>
  <cp:lastModifiedBy>Gordana Koren</cp:lastModifiedBy>
  <cp:revision>9</cp:revision>
  <dcterms:created xsi:type="dcterms:W3CDTF">2023-02-02T07:03:00Z</dcterms:created>
  <dcterms:modified xsi:type="dcterms:W3CDTF">2023-02-02T12:11:00Z</dcterms:modified>
</cp:coreProperties>
</file>