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046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/>
              </w:trPr>
              <w:tc>
                <w:tcPr>
                  <w:tcW w:w="1046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D16997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Izvješće o provedenom savjetovanju - Procjena učinaka propisa: Zakon o izmjenama i dopunama Zakona o ugostiteljskoj djelatnosti Obrasci</w:t>
                  </w:r>
                </w:p>
              </w:tc>
            </w:tr>
          </w:tbl>
          <w:p w:rsidR="00000000" w:rsidRDefault="00D1699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10468" w:type="dxa"/>
          </w:tcPr>
          <w:p w:rsidR="00000000" w:rsidRDefault="00D16997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6"/>
              <w:gridCol w:w="527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"/>
              </w:trPr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169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Korisnik/Sekcija/Komentar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169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Odgovor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"/>
              </w:trPr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16997">
                  <w:r>
                    <w:rPr>
                      <w:rFonts w:ascii="Arial" w:eastAsia="Arial" w:hAnsi="Arial"/>
                      <w:b/>
                      <w:color w:val="000000"/>
                    </w:rPr>
                    <w:t>Udruga ruralnog turizma Hrvatske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PRILOG 1.OBRAZAC PRETHODNE PROCJENE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Udruga rura</w:t>
                  </w:r>
                  <w:r>
                    <w:rPr>
                      <w:rFonts w:ascii="Arial" w:eastAsia="Arial" w:hAnsi="Arial"/>
                      <w:color w:val="000000"/>
                    </w:rPr>
                    <w:t>lnog turizma Hrvatske je jedina nacionalna udruga koja okuplja poljoprivredne proizvođače koji se bave i pružanjem ugostiteljskih i turističkih usluga. Ovim putem dajemo svoje komentare vezano za prijedlog izmjena Zakona o ugostiteljskoj djelatnosti, odnos</w:t>
                  </w:r>
                  <w:r>
                    <w:rPr>
                      <w:rFonts w:ascii="Arial" w:eastAsia="Arial" w:hAnsi="Arial"/>
                      <w:color w:val="000000"/>
                    </w:rPr>
                    <w:t>no prethodnu procjenu nacrta zakona. Držimo da su planirane izmjene nedostatne te da je u izmjene zakona nužno uvrstiti i promjene koje se tiču seoskog turizma. S obzirom da je novi Zakon o pružanju usluga u turizmu olakšao uvjete za pružanje turističkih u</w:t>
                  </w:r>
                  <w:r>
                    <w:rPr>
                      <w:rFonts w:ascii="Arial" w:eastAsia="Arial" w:hAnsi="Arial"/>
                      <w:color w:val="000000"/>
                    </w:rPr>
                    <w:t>sluga na svim poljoprivrednim gospodarstvima, isto je potrebno učiniti i u Zakonu o ugostiteljskoj djelatnosti sukladno sljedećem obrazloženju: 1. Strateška podloga - U procesu donošenja Strategije razvoja turizma do 2020. godine izostala je mjera donošenj</w:t>
                  </w:r>
                  <w:r>
                    <w:rPr>
                      <w:rFonts w:ascii="Arial" w:eastAsia="Arial" w:hAnsi="Arial"/>
                      <w:color w:val="000000"/>
                    </w:rPr>
                    <w:t>a akcijskog plana za ruralni i planinski turizam iako je on predviđen u poglavlju Razvoj turističke ponude. Uvidjevši ovaj previd, Ministarstvo turizma RH je započelo izradu Akcijskog plana za ruralni turizam (na prijedlog Ministra preimenovan u Akcijski p</w:t>
                  </w:r>
                  <w:r>
                    <w:rPr>
                      <w:rFonts w:ascii="Arial" w:eastAsia="Arial" w:hAnsi="Arial"/>
                      <w:color w:val="000000"/>
                    </w:rPr>
                    <w:t>lan za razvoj seoskog turizma) koji nažalost do danas nije usvojen. U navedenom prijedlogu Akcijskog plana, Program 1 bavi se zakonodavnim okvirom seoskog turizma te bi, da je Akcijski plan usvojen, on neminovno zahtijevao i izmjenu Zakona o ugostiteljskoj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djelatnosti. S obzirom na brojne nagomilane probleme u domeni obavljanja usluga seoskog turizma, a koji su prouzrokovani neadekvantim zakonodavnim okvirom, držimo da se u ovim izmjenama zakona ne smije propustiti prilika da se regulira ovaj specifični obl</w:t>
                  </w:r>
                  <w:r>
                    <w:rPr>
                      <w:rFonts w:ascii="Arial" w:eastAsia="Arial" w:hAnsi="Arial"/>
                      <w:color w:val="000000"/>
                    </w:rPr>
                    <w:t>ik turizma. 2. Seoski turizam treba imati zaseban zakonodavni tretman - S obzirom na činjenicu da seoski turizam predstavlja spoj dvije strateški važne gospodarske grane - poljoprivrede i turizma zbog čega je bavljenje ovim oblikom turizma izrazito komplek</w:t>
                  </w:r>
                  <w:r>
                    <w:rPr>
                      <w:rFonts w:ascii="Arial" w:eastAsia="Arial" w:hAnsi="Arial"/>
                      <w:color w:val="000000"/>
                    </w:rPr>
                    <w:t>sno, potrebno ga je konačno zakonski definirati i regulirati kako bi njegovi učinci pridonjeli što većim prihodima od turizma, povećanju zaposlenosti i smanjenju iseljavanja u ruralnim krajevima. S obzirom da je Ministarstvo odbilo inicijativu URTH da se p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ružanje usluga u seoskom turizmu definira novim Zakonom o pružanju usluga u turizmu, sukladno dogovoru potrebno je pristupiti rješavanju zakonodavnih problema u ostalim aktima, od kojih je jedan od najvažnijih upravo Zakon o ugostiteljskoj djelatnosti. 3. </w:t>
                  </w:r>
                  <w:r>
                    <w:rPr>
                      <w:rFonts w:ascii="Arial" w:eastAsia="Arial" w:hAnsi="Arial"/>
                      <w:color w:val="000000"/>
                    </w:rPr>
                    <w:t>Pružatelji usluga seoskog turizma nisu (samo) ugostitelji – Zbog nametnutih ograničenja i propisa iz domene Ministarstva poljoprivrede, veliki broj OPG-ova se preregistrirao u obrte i poduzeća pa se danas seoskim turizmom bave sve vrste poljoprivrednih pro</w:t>
                  </w:r>
                  <w:r>
                    <w:rPr>
                      <w:rFonts w:ascii="Arial" w:eastAsia="Arial" w:hAnsi="Arial"/>
                      <w:color w:val="000000"/>
                    </w:rPr>
                    <w:t>izvođača (sukladno Zakonu o poljoprivredi – OPG, obrt, poduzeće ili zadruga). Postojeći Zakon tretira sve pružatelje usluga seoskog turizma koji nisu OPG kao ugostitelje iako se oni bave i poljoprivredom te plasiraju vlastite poljoprivredne proizvode. Ovim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e je zanemarena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činjenica da ovi objekti djeluju u ruralnom prostoru i da imaju specifične uvjete poslovanja (sezonsko radno vrijeme ili po najavi, rad isključivo u dane vikenda i sl.). U usporedbi s obrtima koji djeluju u gradskim sredinama i drugim isklj</w:t>
                  </w:r>
                  <w:r>
                    <w:rPr>
                      <w:rFonts w:ascii="Arial" w:eastAsia="Arial" w:hAnsi="Arial"/>
                      <w:color w:val="000000"/>
                    </w:rPr>
                    <w:t>učivo ugostiteljskim objektima, svi drugi objekti seoskog turizma imaju puno veće troškove poslovanja zbog vlastite poljoprivredne proizvodnje, održavanja posjeda i slično zbog čega im je značajno smanjena konkurentnost. Zbog toga je za ovu grupu turističk</w:t>
                  </w:r>
                  <w:r>
                    <w:rPr>
                      <w:rFonts w:ascii="Arial" w:eastAsia="Arial" w:hAnsi="Arial"/>
                      <w:color w:val="000000"/>
                    </w:rPr>
                    <w:t>ih dionika potrebno donjeti posebna pravila, a ne ih svrstavati u iste kategorije s objektima koji, primjerice, djeluju u gradskim sredinama. 4. Ukidanje različitih uvjeta poslovanja za različite oblike poljoprivrednih proizvođača - Trenutno Zakon o ugosti</w:t>
                  </w:r>
                  <w:r>
                    <w:rPr>
                      <w:rFonts w:ascii="Arial" w:eastAsia="Arial" w:hAnsi="Arial"/>
                      <w:color w:val="000000"/>
                    </w:rPr>
                    <w:t>teljskoj djelatnosti predviđa olakšane uvjete ugostiteljskog poslovanja samo za obiteljska poljoprivredna gospodarstva dok su drugi poljoprivredni proizvođači (prema Zakonu o poljoprivredi - obrti, zadruge i poduzeća) koji također djeluju u ruralnom prosto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ru i bave se pružanjem istih usluga – izostavljeni, odnosno tretirani na isti način kao i pružatelji isključivo ugostiteljskih usluga. Stoga je potrebno izmijeniti Zakon o ugostiteljskoj djelatnosti na način da se propiše pružanje ugostiteljskih usluga na </w:t>
                  </w:r>
                  <w:r>
                    <w:rPr>
                      <w:rFonts w:ascii="Arial" w:eastAsia="Arial" w:hAnsi="Arial"/>
                      <w:color w:val="000000"/>
                    </w:rPr>
                    <w:t>svim poljoprivrednim gospodarstvima, jednako kao što je to pravo izjednačeno novim Zakonom o pružanju usluga u turizmu. Posljedično, potrebno je usvojiti novi pravilnik o pružanju usluga na svim poljoprivrednim gospodarstvima (ili u objektima seoskog turiz</w:t>
                  </w:r>
                  <w:r>
                    <w:rPr>
                      <w:rFonts w:ascii="Arial" w:eastAsia="Arial" w:hAnsi="Arial"/>
                      <w:color w:val="000000"/>
                    </w:rPr>
                    <w:t>ma) koji bi i diverzificirao različite vrste objekata seoskog turizma sukladno njihovoj ponudi. 5. Ukidanje ograničenja za obiteljska poljoprivredna gospodarstva – S obzirom da je razvoj ruralnog i kontinentalnog turizma jedan od prioriteta Ministarstva tu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rizma u ovom mandatu, potrebno je ukinuti ograničenja za OPG-ove sadržana u postojećem Zakonu o ugostiteljskoj djelatnosti (broj gostiju/izletnika/turista, broj soba i dr.). Navedena ograničenja se u praksi ne poštuju jer je pružateljima usluga u interesu </w:t>
                  </w:r>
                  <w:r>
                    <w:rPr>
                      <w:rFonts w:ascii="Arial" w:eastAsia="Arial" w:hAnsi="Arial"/>
                      <w:color w:val="000000"/>
                    </w:rPr>
                    <w:t>primiti što veći broj gostiju i plasirati što više svojih poljoprivrednih proizvoda pa neki pribjegavaju različitim rješenjima (npr. otvaranje obrta ili poduzeća od strane istog vlasnika) kako bi poslovali u skladu za Zakonom. Ukidanje ograničenja potaknul</w:t>
                  </w:r>
                  <w:r>
                    <w:rPr>
                      <w:rFonts w:ascii="Arial" w:eastAsia="Arial" w:hAnsi="Arial"/>
                      <w:color w:val="000000"/>
                    </w:rPr>
                    <w:t>o bi dodatno zapošljavanje sukladno Zakonu o obiteljskim poljoprivrednim gospodarstvima (u donošenju) koji sada dozvoljava zapošljavanje radnika za potrebe obavljanje dopunskih djelatnosti na OPG-ovima (pružanje ugostiteljskih i turističkih usluga). S obzi</w:t>
                  </w:r>
                  <w:r>
                    <w:rPr>
                      <w:rFonts w:ascii="Arial" w:eastAsia="Arial" w:hAnsi="Arial"/>
                      <w:color w:val="000000"/>
                    </w:rPr>
                    <w:t>rom da su OPG-ovi koji se ozbiljno bave poljoprivredom u sustavu PDV-a te da imaju imaju isti porezni tretman kao i drugi poslovni subjekti, predlaže se brisanje ograničenja u cilju povećanja njihove konkurentnosti na tržištu. 6. Potreba redefiniranja pret</w:t>
                  </w:r>
                  <w:r>
                    <w:rPr>
                      <w:rFonts w:ascii="Arial" w:eastAsia="Arial" w:hAnsi="Arial"/>
                      <w:color w:val="000000"/>
                    </w:rPr>
                    <w:t>ežito vlastite proizvodnje - Članak 4. Pravilnika o pružanju ugostiteljskih usluga na OPG-ovima definira vlastitu proizvodnju na potpuno proizvoljan način, jer se pod terminom pretežito vlastita proizvodnja priznaje i kupovina proizvoda od drugih poljopriv</w:t>
                  </w:r>
                  <w:r>
                    <w:rPr>
                      <w:rFonts w:ascii="Arial" w:eastAsia="Arial" w:hAnsi="Arial"/>
                      <w:color w:val="000000"/>
                    </w:rPr>
                    <w:t>rednih proizvođača. U praksi ovo znači da netko može biti OPG s nikakvom ili minimalnom vlastitom proizvodnjom koji otkupljujući poljoprivredne proizvode od drugih poljoprivrednih proizvođača ( a često i kupovinom u trgovačkim lancima) ustvari “glumi” seos</w:t>
                  </w:r>
                  <w:r>
                    <w:rPr>
                      <w:rFonts w:ascii="Arial" w:eastAsia="Arial" w:hAnsi="Arial"/>
                      <w:color w:val="000000"/>
                    </w:rPr>
                    <w:t>ki turizam. Ovakve prakse su dodatno olakšane zbog odsustva adekvatnih kontrola na terenu. S druge strane, Pravilnik o dopunskim djelatnostima na obiteljskim poljoprivrednim gospodarstvima Ministarstva poljoprivrede u člancima 3. i 7. govori o minimalno 50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% vlastite sirovine za proizvodnju poljoprivrednih i prehrambenih proizvoda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(osim mesa i mlijeka). Ovo pitanje potrebno je riješiti s Ministarstvom poljoprivrede. 7. Seoski turizam nema vremena čekati – Prvi objekti seoskog turizma pojavili su se u Republi</w:t>
                  </w:r>
                  <w:r>
                    <w:rPr>
                      <w:rFonts w:ascii="Arial" w:eastAsia="Arial" w:hAnsi="Arial"/>
                      <w:color w:val="000000"/>
                    </w:rPr>
                    <w:t>ci Hrvatskoj prije više od 20 godina. Zakonodavni okvir u domeni Ministarstva turizma uglavnom je bio rađen djelomičnim transponiranjem stranih rješenja uz pomoć samoprozvanih stručnjaka, bez sagledavanja cjelokupnog zakonodavnog okvira koji regulira ovu d</w:t>
                  </w:r>
                  <w:r>
                    <w:rPr>
                      <w:rFonts w:ascii="Arial" w:eastAsia="Arial" w:hAnsi="Arial"/>
                      <w:color w:val="000000"/>
                    </w:rPr>
                    <w:t>jelatnost, situacije na terenu, ponude i stvarnih želja i potreba domaćih gostiju. Gorenavedeni problemi su izravna posljedica ovakvog djelovanja, uz izostanak (političke) volje da se ovom posebnom obliku turizma posveti adekvatna pozornost. Izbjegavanje r</w:t>
                  </w:r>
                  <w:r>
                    <w:rPr>
                      <w:rFonts w:ascii="Arial" w:eastAsia="Arial" w:hAnsi="Arial"/>
                      <w:color w:val="000000"/>
                    </w:rPr>
                    <w:t>ješavanja ovih pitanja kod priprema izmjena Zakona o ugostiteljskoj djelatnosti prolongira njihovo rješavanje na neodređeni period. Objekti seoskog turizma, kojih je po našoj procjeni u Republici Hrvatskoj preko 700, ostvaruju promet od gotovo jedne milija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rde kuna, direktno i indirektno zapošljavaju preko 10 000 osoba te ostvaruju preko 300 000 noćenja. Držimo da isti zaslužuju adekvatan zakonodavni tretman te Vas ljubazno molimo da ove argumente uvažite i u izmjene zakona uvrstite rješavanje gorenavedenih </w:t>
                  </w:r>
                  <w:r>
                    <w:rPr>
                      <w:rFonts w:ascii="Arial" w:eastAsia="Arial" w:hAnsi="Arial"/>
                      <w:color w:val="000000"/>
                    </w:rPr>
                    <w:t>pitanja seoskog turizma sukladno prijedlogu definiranja principa seoskog turizma koji smo Vam nedavno dostavili.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16997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Primljeno na znanje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Za drugačije rješenje navedene problematike i izmjenu zakona u smislu proširenja kruga pružatelja ugostiteljskih usluga na </w:t>
                  </w:r>
                  <w:r>
                    <w:rPr>
                      <w:rFonts w:ascii="Arial" w:eastAsia="Arial" w:hAnsi="Arial"/>
                      <w:color w:val="000000"/>
                    </w:rPr>
                    <w:t>način kako je važećim Zakonom propisano za obiteljska poljoprivredna gospodarstva na sva poljoprivredna gospodarstva, potrebna je detaljna prethodna analiza svih segmenata takve vrste ponude i njihov utjecaj na ukupnost hrvatskog turizma i gospodarski razv</w:t>
                  </w:r>
                  <w:r>
                    <w:rPr>
                      <w:rFonts w:ascii="Arial" w:eastAsia="Arial" w:hAnsi="Arial"/>
                      <w:color w:val="000000"/>
                    </w:rPr>
                    <w:t>oj Republike Hrvatske, vodeći računa i o sprječavanju nelojalne konkurencije prema ugostiteljima s obzirom na njihove obveze u obavljanju ugostiteljske djelatnosti. Prijedlog ocjenjujemo u dijelu u suprotnosti sa Strategijom razvoja turizma Republike Hrvat</w:t>
                  </w:r>
                  <w:r>
                    <w:rPr>
                      <w:rFonts w:ascii="Arial" w:eastAsia="Arial" w:hAnsi="Arial"/>
                      <w:color w:val="000000"/>
                    </w:rPr>
                    <w:t>ske do 2020. koja predviđa smanjenje privatnog smještaja u odnosu na hotelski.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2"/>
              </w:trPr>
              <w:tc>
                <w:tcPr>
                  <w:tcW w:w="5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16997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Darko Levačić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PRILOG 1.OBRAZAC PRETHODNE PROCJENE, 2.ANALIZA POSTOJEĆEG STANJA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1. Postojeći Zakon, kao i ovaj Prijedlog zakona je daleko prenormiran, djeluje restriktivno, pogl</w:t>
                  </w:r>
                  <w:r>
                    <w:rPr>
                      <w:rFonts w:ascii="Arial" w:eastAsia="Arial" w:hAnsi="Arial"/>
                      <w:color w:val="000000"/>
                    </w:rPr>
                    <w:t>avito za fizičke osobe koje se bave uslugama smještaja u domaćinstvu, u povijesnim gradskim jezgrama. Postupak za dobivanja dozvole za obavljanje djelatnosti smještaja u domaćinstvu je za te osobe, gotovo pa, neprelazan, iako imaju sve uvjete za tu djelatn</w:t>
                  </w:r>
                  <w:r>
                    <w:rPr>
                      <w:rFonts w:ascii="Arial" w:eastAsia="Arial" w:hAnsi="Arial"/>
                      <w:color w:val="000000"/>
                    </w:rPr>
                    <w:t>ost, priliku za razvoj turizma, za rad, za zaradu, a RH za naplatu izdašnih poreza. S time ih se stavlja u neravnopravan položaj u odnosu na vlasnike apartmana u novim objektima i tako su diskriminirani u tržišnoj utakmici. To stoga što je uvjet za dobivan</w:t>
                  </w:r>
                  <w:r>
                    <w:rPr>
                      <w:rFonts w:ascii="Arial" w:eastAsia="Arial" w:hAnsi="Arial"/>
                      <w:color w:val="000000"/>
                    </w:rPr>
                    <w:t>je rješenja o iznajmljivanju u domaćinstvu i kategorije smještaja potrebna uporabna dozvola za cijeli objekt. Ako se radi o višestambenom zgradama, koje su izgrađene prije 1968. godine, uporabnu dozvolu je gotovo pa nemoguće ishoditi za takve objekte. Post</w:t>
                  </w:r>
                  <w:r>
                    <w:rPr>
                      <w:rFonts w:ascii="Arial" w:eastAsia="Arial" w:hAnsi="Arial"/>
                      <w:color w:val="000000"/>
                    </w:rPr>
                    <w:t>upak tzv legalizacije samo jedne stambene jedinice je vrlo dugotrajan i skup. Dakle, to je sprečavanje/otežavanja tržišnog natjecanja i tržišna diskriminacija pojedinih skupina poduzetnika u ugostiteljstvu i turizmu, generalno. 2. Inspekcijski nadzor nad z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akonitošću rada iznajmljivača, provodi Carinska uprava Republike Hrvatske, a svrha i jedini cilj je kažnjavanje iznajmljivača za svaku nepravilnost, kako novčano tako i zabranom rada. Zadaća inspektora u nadzoru mora biti primarno upozoravanje na propuste </w:t>
                  </w:r>
                  <w:r>
                    <w:rPr>
                      <w:rFonts w:ascii="Arial" w:eastAsia="Arial" w:hAnsi="Arial"/>
                      <w:color w:val="000000"/>
                    </w:rPr>
                    <w:t>i greške, upućivanje kako ispraviti propuste te rokovi za ispravljanje propusta. Inspektori to rade jer nisu dovoljno educirani i iskusni za poslove u turizmu i ugostiteljstvu. 3. Zatvaranje i zabrana rada je nerazumna mjera za prekršitelje koja izravno id</w:t>
                  </w:r>
                  <w:r>
                    <w:rPr>
                      <w:rFonts w:ascii="Arial" w:eastAsia="Arial" w:hAnsi="Arial"/>
                      <w:color w:val="000000"/>
                    </w:rPr>
                    <w:t>e na štetu Republike Hrvatske. Time se sprječava ostvarivanje zarede i plaćanje više vrsta poreza. Umjesto zatvaranja i zabrane rada kažnjavanje za ponavljanje prekršaja (za recidiviste) mora biti novčano i to u razmjeru s vrijednošću prekršaja (npr 10-ter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ostruka). 3. Suvremena sredstva rezervacija smještaja preko platformi Booking. com, Airbnb i sl. pružaju neslućene mogućnosti u sustavu rezervacija i smještaja gostiju u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domaćinstva. Trenutno nije jednoznačno riješen sustav plaćanja poreza za fizičke osobe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koje posluju preko tih platformi, odnosno ne postoji niti jedan propis koji regulira to područje prema kojem bi privatni iznajmljivači mogli planirati svoja porezna davanja i raditi financijske planove. I u ovom slučaju inspekcijski nadzor obavljanja djel</w:t>
                  </w:r>
                  <w:r>
                    <w:rPr>
                      <w:rFonts w:ascii="Arial" w:eastAsia="Arial" w:hAnsi="Arial"/>
                      <w:color w:val="000000"/>
                    </w:rPr>
                    <w:t>atnosti je isključivo usmjeren na kažnjavane. Postojeći propisi su zastarjeli, kruti sprječavaju poslovanje, onemogućuju legalnost poslovanja, zaradu, diskriminatorski su i onemogućuju plaćanje poreza i nevjerojatno su dugački, skupi i složeni (kompliciran</w:t>
                  </w:r>
                  <w:r>
                    <w:rPr>
                      <w:rFonts w:ascii="Arial" w:eastAsia="Arial" w:hAnsi="Arial"/>
                      <w:color w:val="000000"/>
                    </w:rPr>
                    <w:t>i) Propisi su birokratski, bez uvažavanja realnosti i nisu razvojni.</w:t>
                  </w:r>
                </w:p>
              </w:tc>
              <w:tc>
                <w:tcPr>
                  <w:tcW w:w="52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D16997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Primljeno na znanje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Napominjemo da je uporabljivost građevina uređena Zakonom o gradnji (Narodne novine, br. 153/13 i 20/17) koji je u nadležnosti Ministarstva graditeljstva i prostornoga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uređenja, a plaćanje poreznih obveza uređeno je propisima iz nadležnosti Ministarstva financija.</w:t>
                  </w:r>
                </w:p>
              </w:tc>
            </w:tr>
          </w:tbl>
          <w:p w:rsidR="00000000" w:rsidRDefault="00D1699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10468" w:type="dxa"/>
          </w:tcPr>
          <w:p w:rsidR="00000000" w:rsidRDefault="00D16997">
            <w:pPr>
              <w:pStyle w:val="EmptyLayoutCell"/>
            </w:pPr>
          </w:p>
        </w:tc>
      </w:tr>
    </w:tbl>
    <w:p w:rsidR="00D16997" w:rsidRDefault="00D16997"/>
    <w:sectPr w:rsidR="00D16997">
      <w:pgSz w:w="11908" w:h="16833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238"/>
    <w:rsid w:val="00C61238"/>
    <w:rsid w:val="00D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9736-3FEC-4905-B01C-8E356FB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EConReportV2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EConReportV2</dc:title>
  <dc:subject/>
  <dc:creator>Bosiljko Domazet</dc:creator>
  <cp:keywords/>
  <cp:lastModifiedBy>Bosiljko Domazet</cp:lastModifiedBy>
  <cp:revision>2</cp:revision>
  <dcterms:created xsi:type="dcterms:W3CDTF">2018-05-21T12:30:00Z</dcterms:created>
  <dcterms:modified xsi:type="dcterms:W3CDTF">2018-05-21T12:30:00Z</dcterms:modified>
</cp:coreProperties>
</file>